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6911" w14:textId="66F49BCD" w:rsidR="00C2740E" w:rsidRPr="00D3373D" w:rsidRDefault="00000000">
      <w:pPr>
        <w:spacing w:after="160"/>
        <w:jc w:val="right"/>
        <w:rPr>
          <w:rFonts w:asciiTheme="minorHAnsi" w:hAnsiTheme="minorHAnsi" w:cstheme="minorHAnsi"/>
          <w:color w:val="000000" w:themeColor="text1"/>
          <w:sz w:val="22"/>
        </w:rPr>
      </w:pPr>
      <w:r w:rsidRPr="00D3373D">
        <w:rPr>
          <w:rFonts w:asciiTheme="minorHAnsi" w:hAnsiTheme="minorHAnsi" w:cstheme="minorHAnsi"/>
          <w:color w:val="000000" w:themeColor="text1"/>
          <w:sz w:val="22"/>
        </w:rPr>
        <w:t xml:space="preserve">Kraków, </w:t>
      </w:r>
      <w:r w:rsidR="00D3373D">
        <w:rPr>
          <w:rFonts w:asciiTheme="minorHAnsi" w:hAnsiTheme="minorHAnsi" w:cstheme="minorHAnsi"/>
          <w:color w:val="000000" w:themeColor="text1"/>
          <w:sz w:val="22"/>
        </w:rPr>
        <w:t>5 sierpnia</w:t>
      </w:r>
      <w:r w:rsidRPr="00D3373D">
        <w:rPr>
          <w:rFonts w:asciiTheme="minorHAnsi" w:hAnsiTheme="minorHAnsi" w:cstheme="minorHAnsi"/>
          <w:color w:val="000000" w:themeColor="text1"/>
          <w:sz w:val="22"/>
        </w:rPr>
        <w:t xml:space="preserve"> 2026 r.</w:t>
      </w:r>
    </w:p>
    <w:p w14:paraId="1A734F99" w14:textId="082CE65B" w:rsidR="00E0778F" w:rsidRPr="0024627D" w:rsidRDefault="007E0CAD" w:rsidP="00D3373D">
      <w:pPr>
        <w:spacing w:after="100"/>
        <w:outlineLvl w:val="0"/>
        <w:rPr>
          <w:rFonts w:ascii="Calibri" w:eastAsia="Times New Roman" w:hAnsi="Calibri" w:cs="Calibri"/>
          <w:b/>
          <w:bCs/>
          <w:color w:val="002060"/>
          <w:kern w:val="36"/>
          <w:sz w:val="24"/>
          <w:szCs w:val="24"/>
          <w:lang w:eastAsia="pl-PL"/>
          <w14:ligatures w14:val="none"/>
        </w:rPr>
      </w:pPr>
      <w:r w:rsidRPr="0024627D">
        <w:rPr>
          <w:rFonts w:ascii="Calibri" w:eastAsia="Times New Roman" w:hAnsi="Calibri" w:cs="Calibri"/>
          <w:b/>
          <w:bCs/>
          <w:color w:val="002060"/>
          <w:kern w:val="36"/>
          <w:sz w:val="24"/>
          <w:szCs w:val="24"/>
          <w:lang w:eastAsia="pl-PL"/>
          <w14:ligatures w14:val="none"/>
        </w:rPr>
        <w:t>Sprzedaż pomp ciepła do ogrzewania budynków wzrosła o 18 proc. w I półroczu 2026 r.</w:t>
      </w:r>
    </w:p>
    <w:p w14:paraId="2C51CF73" w14:textId="43759CB8" w:rsidR="00D3373D" w:rsidRPr="009A2982" w:rsidRDefault="004B5622" w:rsidP="00D3373D">
      <w:pPr>
        <w:spacing w:after="100"/>
        <w:rPr>
          <w:rFonts w:ascii="Calibri" w:eastAsia="Times New Roman" w:hAnsi="Calibri" w:cs="Calibri"/>
          <w:b/>
          <w:bCs/>
          <w:color w:val="000000"/>
          <w:kern w:val="36"/>
          <w:sz w:val="22"/>
          <w:lang w:eastAsia="pl-PL"/>
          <w14:ligatures w14:val="none"/>
        </w:rPr>
      </w:pPr>
      <w:r w:rsidRPr="004B5622">
        <w:rPr>
          <w:rFonts w:ascii="Calibri" w:eastAsia="Times New Roman" w:hAnsi="Calibri" w:cs="Calibri"/>
          <w:b/>
          <w:bCs/>
          <w:color w:val="000000"/>
          <w:kern w:val="36"/>
          <w:sz w:val="22"/>
          <w:lang w:eastAsia="pl-PL"/>
          <w14:ligatures w14:val="none"/>
        </w:rPr>
        <w:t>Wyniki sprzedaży w I półroczu, w tym w II kwartale 2026 r., potwierdzają, że polski rynek pomp ciepła wraca do wzrostu</w:t>
      </w:r>
      <w:r w:rsidR="007E0CAD" w:rsidRPr="007E0CAD">
        <w:rPr>
          <w:rFonts w:ascii="Calibri" w:eastAsia="Times New Roman" w:hAnsi="Calibri" w:cs="Calibri"/>
          <w:b/>
          <w:bCs/>
          <w:color w:val="000000"/>
          <w:kern w:val="36"/>
          <w:sz w:val="22"/>
          <w:lang w:eastAsia="pl-PL"/>
          <w14:ligatures w14:val="none"/>
        </w:rPr>
        <w:t xml:space="preserve">. W pierwszych sześciu miesiącach sprzedaż pomp ciepła do centralnego ogrzewania, raportowana przez producentów i importerów do hurtowni oraz instalatorów, zwiększyła się o 18 proc. rok do roku, a w samym II kwartale dynamika wzrostu przyspieszyła do 22 proc. Najszybciej rozwijał się segment gruntowych pomp ciepła, którego sprzedaż wzrosła o 57 proc. w </w:t>
      </w:r>
      <w:r w:rsidR="00750884">
        <w:rPr>
          <w:rFonts w:ascii="Calibri" w:eastAsia="Times New Roman" w:hAnsi="Calibri" w:cs="Calibri"/>
          <w:b/>
          <w:bCs/>
          <w:color w:val="000000"/>
          <w:kern w:val="36"/>
          <w:sz w:val="22"/>
          <w:lang w:eastAsia="pl-PL"/>
          <w14:ligatures w14:val="none"/>
        </w:rPr>
        <w:t xml:space="preserve">I </w:t>
      </w:r>
      <w:r w:rsidR="007E0CAD" w:rsidRPr="007E0CAD">
        <w:rPr>
          <w:rFonts w:ascii="Calibri" w:eastAsia="Times New Roman" w:hAnsi="Calibri" w:cs="Calibri"/>
          <w:b/>
          <w:bCs/>
          <w:color w:val="000000"/>
          <w:kern w:val="36"/>
          <w:sz w:val="22"/>
          <w:lang w:eastAsia="pl-PL"/>
          <w14:ligatures w14:val="none"/>
        </w:rPr>
        <w:t xml:space="preserve">półroczu i aż o 77 proc. w II kwartale. To wyraźny początek odbudowy rynku po trudnych latach, choć nadal nie oznacza powrotu do rekordowych poziomów z 2022 r. </w:t>
      </w:r>
    </w:p>
    <w:p w14:paraId="5990495D" w14:textId="68676725" w:rsidR="00D3373D" w:rsidRPr="00DA2AEE" w:rsidRDefault="00B33A00" w:rsidP="00D3373D">
      <w:pPr>
        <w:spacing w:after="100"/>
        <w:rPr>
          <w:rFonts w:ascii="Calibri" w:eastAsia="Times New Roman" w:hAnsi="Calibri" w:cs="Calibri"/>
          <w:b/>
          <w:bCs/>
          <w:color w:val="000000"/>
          <w:kern w:val="0"/>
          <w:sz w:val="22"/>
          <w:lang w:eastAsia="pl-PL"/>
          <w14:ligatures w14:val="none"/>
        </w:rPr>
      </w:pPr>
      <w:r w:rsidRPr="00B33A00">
        <w:rPr>
          <w:rFonts w:ascii="Calibri" w:eastAsia="Times New Roman" w:hAnsi="Calibri" w:cs="Calibri"/>
          <w:b/>
          <w:bCs/>
          <w:color w:val="000000"/>
          <w:kern w:val="0"/>
          <w:sz w:val="22"/>
          <w:lang w:eastAsia="pl-PL"/>
          <w14:ligatures w14:val="none"/>
        </w:rPr>
        <w:t>Wzrosty od 14 do 57 proc. w I półroczu</w:t>
      </w:r>
      <w:r>
        <w:rPr>
          <w:rFonts w:ascii="Calibri" w:eastAsia="Times New Roman" w:hAnsi="Calibri" w:cs="Calibri"/>
          <w:b/>
          <w:bCs/>
          <w:color w:val="000000"/>
          <w:kern w:val="0"/>
          <w:sz w:val="22"/>
          <w:lang w:eastAsia="pl-PL"/>
          <w14:ligatures w14:val="none"/>
        </w:rPr>
        <w:t xml:space="preserve"> 2026</w:t>
      </w:r>
      <w:r w:rsidR="001D3E76">
        <w:rPr>
          <w:rFonts w:ascii="Calibri" w:eastAsia="Times New Roman" w:hAnsi="Calibri" w:cs="Calibri"/>
          <w:b/>
          <w:bCs/>
          <w:color w:val="000000"/>
          <w:kern w:val="0"/>
          <w:sz w:val="22"/>
          <w:lang w:eastAsia="pl-PL"/>
          <w14:ligatures w14:val="none"/>
        </w:rPr>
        <w:t xml:space="preserve"> r.</w:t>
      </w:r>
    </w:p>
    <w:p w14:paraId="19A00488" w14:textId="5BDD5791" w:rsidR="00D3373D" w:rsidRPr="00D3373D" w:rsidRDefault="001D3E76" w:rsidP="00F309E0">
      <w:pPr>
        <w:spacing w:after="140"/>
        <w:jc w:val="left"/>
        <w:rPr>
          <w:rFonts w:ascii="Calibri" w:eastAsia="Times New Roman" w:hAnsi="Calibri" w:cs="Calibri"/>
          <w:color w:val="000000"/>
          <w:kern w:val="0"/>
          <w:sz w:val="22"/>
          <w:lang w:eastAsia="pl-PL"/>
          <w14:ligatures w14:val="none"/>
        </w:rPr>
      </w:pPr>
      <w:r w:rsidRPr="001D3E76">
        <w:rPr>
          <w:rFonts w:ascii="Calibri" w:eastAsia="Times New Roman" w:hAnsi="Calibri" w:cs="Calibri"/>
          <w:color w:val="000000"/>
          <w:kern w:val="0"/>
          <w:sz w:val="22"/>
          <w:lang w:eastAsia="pl-PL"/>
          <w14:ligatures w14:val="none"/>
        </w:rPr>
        <w:t>W I półroczu 2026 r. sprzedaż pomp ciepła do centralnego ogrzewania zwiększyła się o 18 proc. rok do roku. Największą dynamikę odnotowano w segmencie gruntowych pomp ciepła, którego sprzedaż wzrosła o 57 proc.</w:t>
      </w:r>
      <w:r>
        <w:rPr>
          <w:rFonts w:ascii="Calibri" w:eastAsia="Times New Roman" w:hAnsi="Calibri" w:cs="Calibri"/>
          <w:color w:val="000000"/>
          <w:kern w:val="0"/>
          <w:sz w:val="22"/>
          <w:lang w:eastAsia="pl-PL"/>
          <w14:ligatures w14:val="none"/>
        </w:rPr>
        <w:t xml:space="preserve"> </w:t>
      </w:r>
      <w:r w:rsidR="00D3373D" w:rsidRPr="00D3373D">
        <w:rPr>
          <w:rFonts w:ascii="Calibri" w:eastAsia="Times New Roman" w:hAnsi="Calibri" w:cs="Calibri"/>
          <w:color w:val="000000"/>
          <w:kern w:val="0"/>
          <w:sz w:val="22"/>
          <w:lang w:eastAsia="pl-PL"/>
          <w14:ligatures w14:val="none"/>
        </w:rPr>
        <w:t>Sprzedaż pomp ciepła typu powietrze-woda do ogrzewania budynków zwiększyła się w tym czasie o 15 proc.,</w:t>
      </w:r>
      <w:r w:rsidR="00D3373D">
        <w:rPr>
          <w:rFonts w:ascii="Calibri" w:eastAsia="Times New Roman" w:hAnsi="Calibri" w:cs="Calibri"/>
          <w:color w:val="000000"/>
          <w:kern w:val="0"/>
          <w:sz w:val="22"/>
          <w:lang w:eastAsia="pl-PL"/>
          <w14:ligatures w14:val="none"/>
        </w:rPr>
        <w:t xml:space="preserve"> </w:t>
      </w:r>
      <w:r w:rsidR="00D3373D" w:rsidRPr="00D3373D">
        <w:rPr>
          <w:rFonts w:ascii="Calibri" w:eastAsia="Times New Roman" w:hAnsi="Calibri" w:cs="Calibri"/>
          <w:color w:val="000000"/>
          <w:kern w:val="0"/>
          <w:sz w:val="22"/>
          <w:lang w:eastAsia="pl-PL"/>
          <w14:ligatures w14:val="none"/>
        </w:rPr>
        <w:t xml:space="preserve">przy czym dla </w:t>
      </w:r>
      <w:r w:rsidR="00F309E0">
        <w:rPr>
          <w:rFonts w:ascii="Calibri" w:eastAsia="Times New Roman" w:hAnsi="Calibri" w:cs="Calibri"/>
          <w:color w:val="000000"/>
          <w:kern w:val="0"/>
          <w:sz w:val="22"/>
          <w:lang w:eastAsia="pl-PL"/>
          <w14:ligatures w14:val="none"/>
        </w:rPr>
        <w:t xml:space="preserve">pomp ciepła typu </w:t>
      </w:r>
      <w:r w:rsidR="00D3373D" w:rsidRPr="00D3373D">
        <w:rPr>
          <w:rFonts w:ascii="Calibri" w:eastAsia="Times New Roman" w:hAnsi="Calibri" w:cs="Calibri"/>
          <w:color w:val="000000"/>
          <w:kern w:val="0"/>
          <w:sz w:val="22"/>
          <w:lang w:eastAsia="pl-PL"/>
          <w14:ligatures w14:val="none"/>
        </w:rPr>
        <w:t xml:space="preserve">monoblok wzrost sięgnął 19 proc., a dla </w:t>
      </w:r>
      <w:r w:rsidR="00F309E0">
        <w:rPr>
          <w:rFonts w:ascii="Calibri" w:eastAsia="Times New Roman" w:hAnsi="Calibri" w:cs="Calibri"/>
          <w:color w:val="000000"/>
          <w:kern w:val="0"/>
          <w:sz w:val="22"/>
          <w:lang w:eastAsia="pl-PL"/>
          <w14:ligatures w14:val="none"/>
        </w:rPr>
        <w:t xml:space="preserve">urządzeń typu </w:t>
      </w:r>
      <w:proofErr w:type="spellStart"/>
      <w:r w:rsidR="00D3373D" w:rsidRPr="00D3373D">
        <w:rPr>
          <w:rFonts w:ascii="Calibri" w:eastAsia="Times New Roman" w:hAnsi="Calibri" w:cs="Calibri"/>
          <w:color w:val="000000"/>
          <w:kern w:val="0"/>
          <w:sz w:val="22"/>
          <w:lang w:eastAsia="pl-PL"/>
          <w14:ligatures w14:val="none"/>
        </w:rPr>
        <w:t>split</w:t>
      </w:r>
      <w:proofErr w:type="spellEnd"/>
      <w:r w:rsidR="00D3373D" w:rsidRPr="00D3373D">
        <w:rPr>
          <w:rFonts w:ascii="Calibri" w:eastAsia="Times New Roman" w:hAnsi="Calibri" w:cs="Calibri"/>
          <w:color w:val="000000"/>
          <w:kern w:val="0"/>
          <w:sz w:val="22"/>
          <w:lang w:eastAsia="pl-PL"/>
          <w14:ligatures w14:val="none"/>
        </w:rPr>
        <w:t xml:space="preserve"> 14 proc. </w:t>
      </w:r>
      <w:proofErr w:type="spellStart"/>
      <w:r w:rsidR="00D3373D" w:rsidRPr="00D3373D">
        <w:rPr>
          <w:rFonts w:ascii="Calibri" w:eastAsia="Times New Roman" w:hAnsi="Calibri" w:cs="Calibri"/>
          <w:color w:val="000000"/>
          <w:kern w:val="0"/>
          <w:sz w:val="22"/>
          <w:lang w:eastAsia="pl-PL"/>
          <w14:ligatures w14:val="none"/>
        </w:rPr>
        <w:t>Splity</w:t>
      </w:r>
      <w:proofErr w:type="spellEnd"/>
      <w:r w:rsidR="00D3373D" w:rsidRPr="00D3373D">
        <w:rPr>
          <w:rFonts w:ascii="Calibri" w:eastAsia="Times New Roman" w:hAnsi="Calibri" w:cs="Calibri"/>
          <w:color w:val="000000"/>
          <w:kern w:val="0"/>
          <w:sz w:val="22"/>
          <w:lang w:eastAsia="pl-PL"/>
          <w14:ligatures w14:val="none"/>
        </w:rPr>
        <w:t xml:space="preserve"> nadal zdecydowanie dominują w tym segmencie: ich sprzedaż jest około trzykrotnie większa niż sprzedaż monobloków. Spadek sprzedaży odnotowano jedynie w kategorii pomp ciepła powietrze-woda przeznaczonych wyłącznie do przygotowania ciepłej wody użytkowej – sięgnął on 34 proc. </w:t>
      </w:r>
    </w:p>
    <w:tbl>
      <w:tblPr>
        <w:tblStyle w:val="Tabela-Siatka"/>
        <w:tblW w:w="0" w:type="auto"/>
        <w:tblLook w:val="04A0" w:firstRow="1" w:lastRow="0" w:firstColumn="1" w:lastColumn="0" w:noHBand="0" w:noVBand="1"/>
      </w:tblPr>
      <w:tblGrid>
        <w:gridCol w:w="4673"/>
        <w:gridCol w:w="3969"/>
      </w:tblGrid>
      <w:tr w:rsidR="00D3373D" w:rsidRPr="00D3373D" w14:paraId="0AA5D459" w14:textId="77777777" w:rsidTr="00DA2AEE">
        <w:tc>
          <w:tcPr>
            <w:tcW w:w="467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1EF38B7" w14:textId="77777777" w:rsidR="00D3373D" w:rsidRPr="00D3373D" w:rsidRDefault="00D3373D" w:rsidP="00DA2AEE">
            <w:pPr>
              <w:spacing w:after="0"/>
              <w:outlineLvl w:val="1"/>
              <w:rPr>
                <w:rFonts w:ascii="Calibri" w:eastAsia="Times New Roman" w:hAnsi="Calibri" w:cs="Calibri"/>
                <w:b/>
                <w:bCs/>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Typ pompy ciepła</w:t>
            </w:r>
          </w:p>
        </w:tc>
        <w:tc>
          <w:tcPr>
            <w:tcW w:w="396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15F9361" w14:textId="77777777" w:rsidR="00D3373D" w:rsidRPr="00D3373D" w:rsidRDefault="00D3373D" w:rsidP="00DA2AEE">
            <w:pPr>
              <w:spacing w:after="0"/>
              <w:outlineLvl w:val="1"/>
              <w:rPr>
                <w:rFonts w:ascii="Calibri" w:eastAsia="Times New Roman" w:hAnsi="Calibri" w:cs="Calibri"/>
                <w:b/>
                <w:bCs/>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Zmiany sprzedaży I półrocze: 2026/2025</w:t>
            </w:r>
          </w:p>
        </w:tc>
      </w:tr>
      <w:tr w:rsidR="00D3373D" w:rsidRPr="00D3373D" w14:paraId="539CB9C5" w14:textId="77777777" w:rsidTr="00DA2AEE">
        <w:tc>
          <w:tcPr>
            <w:tcW w:w="4673" w:type="dxa"/>
            <w:tcBorders>
              <w:top w:val="single" w:sz="4" w:space="0" w:color="auto"/>
              <w:left w:val="single" w:sz="4" w:space="0" w:color="auto"/>
              <w:bottom w:val="single" w:sz="4" w:space="0" w:color="auto"/>
              <w:right w:val="single" w:sz="4" w:space="0" w:color="auto"/>
            </w:tcBorders>
            <w:hideMark/>
          </w:tcPr>
          <w:p w14:paraId="16D00139" w14:textId="77777777" w:rsidR="00D3373D" w:rsidRPr="00D3373D" w:rsidRDefault="00D3373D" w:rsidP="00DA2AEE">
            <w:pPr>
              <w:spacing w:after="0"/>
              <w:jc w:val="left"/>
              <w:outlineLvl w:val="1"/>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pompy ciepła do centralnego ogrzewania ogółem </w:t>
            </w:r>
          </w:p>
        </w:tc>
        <w:tc>
          <w:tcPr>
            <w:tcW w:w="3969" w:type="dxa"/>
            <w:tcBorders>
              <w:top w:val="single" w:sz="4" w:space="0" w:color="auto"/>
              <w:left w:val="single" w:sz="4" w:space="0" w:color="auto"/>
              <w:bottom w:val="single" w:sz="4" w:space="0" w:color="auto"/>
              <w:right w:val="single" w:sz="4" w:space="0" w:color="auto"/>
            </w:tcBorders>
            <w:hideMark/>
          </w:tcPr>
          <w:p w14:paraId="44CBA599" w14:textId="655F8247" w:rsidR="00D3373D" w:rsidRPr="00D3373D" w:rsidRDefault="00D3373D" w:rsidP="003A4B04">
            <w:pPr>
              <w:spacing w:after="0"/>
              <w:jc w:val="left"/>
              <w:outlineLvl w:val="1"/>
              <w:rPr>
                <w:rFonts w:ascii="Calibri" w:eastAsia="Times New Roman" w:hAnsi="Calibri" w:cs="Calibri"/>
                <w:b/>
                <w:bCs/>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+18</w:t>
            </w:r>
            <w:r w:rsidR="003A4B04">
              <w:rPr>
                <w:rFonts w:ascii="Calibri" w:eastAsia="Times New Roman" w:hAnsi="Calibri" w:cs="Calibri"/>
                <w:b/>
                <w:bCs/>
                <w:color w:val="000000"/>
                <w:kern w:val="0"/>
                <w:sz w:val="22"/>
                <w:lang w:eastAsia="pl-PL"/>
                <w14:ligatures w14:val="none"/>
              </w:rPr>
              <w:t xml:space="preserve"> proc.</w:t>
            </w:r>
          </w:p>
        </w:tc>
      </w:tr>
      <w:tr w:rsidR="00D3373D" w:rsidRPr="00D3373D" w14:paraId="34B2D95C" w14:textId="77777777" w:rsidTr="00DA2AEE">
        <w:tc>
          <w:tcPr>
            <w:tcW w:w="4673" w:type="dxa"/>
            <w:tcBorders>
              <w:top w:val="single" w:sz="4" w:space="0" w:color="auto"/>
              <w:left w:val="single" w:sz="4" w:space="0" w:color="auto"/>
              <w:bottom w:val="single" w:sz="4" w:space="0" w:color="auto"/>
              <w:right w:val="single" w:sz="4" w:space="0" w:color="auto"/>
            </w:tcBorders>
            <w:hideMark/>
          </w:tcPr>
          <w:p w14:paraId="3E8F9694" w14:textId="77777777" w:rsidR="00D3373D" w:rsidRPr="00D3373D" w:rsidRDefault="00D3373D" w:rsidP="00DA2AEE">
            <w:pPr>
              <w:spacing w:after="0"/>
              <w:jc w:val="left"/>
              <w:outlineLvl w:val="1"/>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pompy ciepła powietrze-woda ogółem</w:t>
            </w:r>
          </w:p>
        </w:tc>
        <w:tc>
          <w:tcPr>
            <w:tcW w:w="3969" w:type="dxa"/>
            <w:tcBorders>
              <w:top w:val="single" w:sz="4" w:space="0" w:color="auto"/>
              <w:left w:val="single" w:sz="4" w:space="0" w:color="auto"/>
              <w:bottom w:val="single" w:sz="4" w:space="0" w:color="auto"/>
              <w:right w:val="single" w:sz="4" w:space="0" w:color="auto"/>
            </w:tcBorders>
            <w:hideMark/>
          </w:tcPr>
          <w:p w14:paraId="259087B4" w14:textId="467CA572" w:rsidR="00D3373D" w:rsidRPr="00D3373D" w:rsidRDefault="00D3373D" w:rsidP="00DA2AEE">
            <w:pPr>
              <w:spacing w:after="0"/>
              <w:outlineLvl w:val="1"/>
              <w:rPr>
                <w:rFonts w:ascii="Calibri" w:eastAsia="Times New Roman" w:hAnsi="Calibri" w:cs="Calibri"/>
                <w:b/>
                <w:bCs/>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+15</w:t>
            </w:r>
            <w:r w:rsidR="003A4B04">
              <w:rPr>
                <w:rFonts w:ascii="Calibri" w:eastAsia="Times New Roman" w:hAnsi="Calibri" w:cs="Calibri"/>
                <w:b/>
                <w:bCs/>
                <w:color w:val="000000"/>
                <w:kern w:val="0"/>
                <w:sz w:val="22"/>
                <w:lang w:eastAsia="pl-PL"/>
                <w14:ligatures w14:val="none"/>
              </w:rPr>
              <w:t xml:space="preserve"> proc.</w:t>
            </w:r>
          </w:p>
        </w:tc>
      </w:tr>
      <w:tr w:rsidR="00D3373D" w:rsidRPr="00D3373D" w14:paraId="338A4D93" w14:textId="77777777" w:rsidTr="00DA2AEE">
        <w:tc>
          <w:tcPr>
            <w:tcW w:w="4673" w:type="dxa"/>
            <w:tcBorders>
              <w:top w:val="single" w:sz="4" w:space="0" w:color="auto"/>
              <w:left w:val="single" w:sz="4" w:space="0" w:color="auto"/>
              <w:bottom w:val="single" w:sz="4" w:space="0" w:color="auto"/>
              <w:right w:val="single" w:sz="4" w:space="0" w:color="auto"/>
            </w:tcBorders>
            <w:hideMark/>
          </w:tcPr>
          <w:p w14:paraId="4C497783" w14:textId="77777777" w:rsidR="00D3373D" w:rsidRPr="00D3373D" w:rsidRDefault="00D3373D" w:rsidP="00DA2AEE">
            <w:pPr>
              <w:spacing w:after="0"/>
              <w:jc w:val="left"/>
              <w:outlineLvl w:val="1"/>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pompy ciepła solanka-woda lub woda-woda </w:t>
            </w:r>
          </w:p>
        </w:tc>
        <w:tc>
          <w:tcPr>
            <w:tcW w:w="3969" w:type="dxa"/>
            <w:tcBorders>
              <w:top w:val="single" w:sz="4" w:space="0" w:color="auto"/>
              <w:left w:val="single" w:sz="4" w:space="0" w:color="auto"/>
              <w:bottom w:val="single" w:sz="4" w:space="0" w:color="auto"/>
              <w:right w:val="single" w:sz="4" w:space="0" w:color="auto"/>
            </w:tcBorders>
            <w:hideMark/>
          </w:tcPr>
          <w:p w14:paraId="397AB54E" w14:textId="7AACB76F" w:rsidR="00D3373D" w:rsidRPr="00D3373D" w:rsidRDefault="00D3373D" w:rsidP="00DA2AEE">
            <w:pPr>
              <w:spacing w:after="0"/>
              <w:outlineLvl w:val="1"/>
              <w:rPr>
                <w:rFonts w:ascii="Calibri" w:eastAsia="Times New Roman" w:hAnsi="Calibri" w:cs="Calibri"/>
                <w:b/>
                <w:bCs/>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+57</w:t>
            </w:r>
            <w:r w:rsidR="003A4B04">
              <w:rPr>
                <w:rFonts w:ascii="Calibri" w:eastAsia="Times New Roman" w:hAnsi="Calibri" w:cs="Calibri"/>
                <w:b/>
                <w:bCs/>
                <w:color w:val="000000"/>
                <w:kern w:val="0"/>
                <w:sz w:val="22"/>
                <w:lang w:eastAsia="pl-PL"/>
                <w14:ligatures w14:val="none"/>
              </w:rPr>
              <w:t xml:space="preserve"> proc.</w:t>
            </w:r>
          </w:p>
        </w:tc>
      </w:tr>
      <w:tr w:rsidR="00D3373D" w:rsidRPr="00D3373D" w14:paraId="5E3CE1F7" w14:textId="77777777" w:rsidTr="00DA2AEE">
        <w:tc>
          <w:tcPr>
            <w:tcW w:w="4673" w:type="dxa"/>
            <w:tcBorders>
              <w:top w:val="single" w:sz="4" w:space="0" w:color="auto"/>
              <w:left w:val="single" w:sz="4" w:space="0" w:color="auto"/>
              <w:bottom w:val="single" w:sz="4" w:space="0" w:color="auto"/>
              <w:right w:val="single" w:sz="4" w:space="0" w:color="auto"/>
            </w:tcBorders>
            <w:hideMark/>
          </w:tcPr>
          <w:p w14:paraId="5BCECAE1" w14:textId="77777777" w:rsidR="00D3373D" w:rsidRPr="00D3373D" w:rsidRDefault="00D3373D" w:rsidP="00DA2AEE">
            <w:pPr>
              <w:spacing w:after="0"/>
              <w:jc w:val="left"/>
              <w:outlineLvl w:val="1"/>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pompy ciepła powietrze-woda typu </w:t>
            </w:r>
            <w:proofErr w:type="spellStart"/>
            <w:r w:rsidRPr="00D3373D">
              <w:rPr>
                <w:rFonts w:ascii="Calibri" w:eastAsia="Times New Roman" w:hAnsi="Calibri" w:cs="Calibri"/>
                <w:color w:val="000000"/>
                <w:kern w:val="0"/>
                <w:sz w:val="22"/>
                <w:lang w:eastAsia="pl-PL"/>
                <w14:ligatures w14:val="none"/>
              </w:rPr>
              <w:t>split</w:t>
            </w:r>
            <w:proofErr w:type="spellEnd"/>
            <w:r w:rsidRPr="00D3373D">
              <w:rPr>
                <w:rFonts w:ascii="Calibri" w:eastAsia="Times New Roman" w:hAnsi="Calibri" w:cs="Calibri"/>
                <w:color w:val="000000"/>
                <w:kern w:val="0"/>
                <w:sz w:val="22"/>
                <w:lang w:eastAsia="pl-PL"/>
                <w14:ligatures w14:val="none"/>
              </w:rPr>
              <w:t xml:space="preserve"> </w:t>
            </w:r>
          </w:p>
        </w:tc>
        <w:tc>
          <w:tcPr>
            <w:tcW w:w="3969" w:type="dxa"/>
            <w:tcBorders>
              <w:top w:val="single" w:sz="4" w:space="0" w:color="auto"/>
              <w:left w:val="single" w:sz="4" w:space="0" w:color="auto"/>
              <w:bottom w:val="single" w:sz="4" w:space="0" w:color="auto"/>
              <w:right w:val="single" w:sz="4" w:space="0" w:color="auto"/>
            </w:tcBorders>
            <w:hideMark/>
          </w:tcPr>
          <w:p w14:paraId="274A08B5" w14:textId="33A22C9F" w:rsidR="00D3373D" w:rsidRPr="00D3373D" w:rsidRDefault="00D3373D" w:rsidP="00DA2AEE">
            <w:pPr>
              <w:spacing w:after="0"/>
              <w:outlineLvl w:val="1"/>
              <w:rPr>
                <w:rFonts w:ascii="Calibri" w:eastAsia="Times New Roman" w:hAnsi="Calibri" w:cs="Calibri"/>
                <w:b/>
                <w:bCs/>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+14</w:t>
            </w:r>
            <w:r w:rsidR="003A4B04">
              <w:rPr>
                <w:rFonts w:ascii="Calibri" w:eastAsia="Times New Roman" w:hAnsi="Calibri" w:cs="Calibri"/>
                <w:b/>
                <w:bCs/>
                <w:color w:val="000000"/>
                <w:kern w:val="0"/>
                <w:sz w:val="22"/>
                <w:lang w:eastAsia="pl-PL"/>
                <w14:ligatures w14:val="none"/>
              </w:rPr>
              <w:t xml:space="preserve"> proc.</w:t>
            </w:r>
          </w:p>
        </w:tc>
      </w:tr>
      <w:tr w:rsidR="00D3373D" w:rsidRPr="00D3373D" w14:paraId="5E61F495" w14:textId="77777777" w:rsidTr="00DA2AEE">
        <w:tc>
          <w:tcPr>
            <w:tcW w:w="4673" w:type="dxa"/>
            <w:tcBorders>
              <w:top w:val="single" w:sz="4" w:space="0" w:color="auto"/>
              <w:left w:val="single" w:sz="4" w:space="0" w:color="auto"/>
              <w:bottom w:val="single" w:sz="4" w:space="0" w:color="auto"/>
              <w:right w:val="single" w:sz="4" w:space="0" w:color="auto"/>
            </w:tcBorders>
            <w:hideMark/>
          </w:tcPr>
          <w:p w14:paraId="60B5B53E" w14:textId="77777777" w:rsidR="00D3373D" w:rsidRPr="00D3373D" w:rsidRDefault="00D3373D" w:rsidP="00DA2AEE">
            <w:pPr>
              <w:spacing w:after="0"/>
              <w:jc w:val="left"/>
              <w:outlineLvl w:val="1"/>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pompy ciepła powietrze-woda typu monoblok</w:t>
            </w:r>
          </w:p>
        </w:tc>
        <w:tc>
          <w:tcPr>
            <w:tcW w:w="3969" w:type="dxa"/>
            <w:tcBorders>
              <w:top w:val="single" w:sz="4" w:space="0" w:color="auto"/>
              <w:left w:val="single" w:sz="4" w:space="0" w:color="auto"/>
              <w:bottom w:val="single" w:sz="4" w:space="0" w:color="auto"/>
              <w:right w:val="single" w:sz="4" w:space="0" w:color="auto"/>
            </w:tcBorders>
            <w:hideMark/>
          </w:tcPr>
          <w:p w14:paraId="35F6F6AC" w14:textId="1E05DED6" w:rsidR="00D3373D" w:rsidRPr="00D3373D" w:rsidRDefault="00D3373D" w:rsidP="00DA2AEE">
            <w:pPr>
              <w:spacing w:after="0"/>
              <w:outlineLvl w:val="1"/>
              <w:rPr>
                <w:rFonts w:ascii="Calibri" w:eastAsia="Times New Roman" w:hAnsi="Calibri" w:cs="Calibri"/>
                <w:b/>
                <w:bCs/>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+19</w:t>
            </w:r>
            <w:r w:rsidR="003A4B04">
              <w:rPr>
                <w:rFonts w:ascii="Calibri" w:eastAsia="Times New Roman" w:hAnsi="Calibri" w:cs="Calibri"/>
                <w:b/>
                <w:bCs/>
                <w:color w:val="000000"/>
                <w:kern w:val="0"/>
                <w:sz w:val="22"/>
                <w:lang w:eastAsia="pl-PL"/>
                <w14:ligatures w14:val="none"/>
              </w:rPr>
              <w:t xml:space="preserve"> proc.</w:t>
            </w:r>
          </w:p>
        </w:tc>
      </w:tr>
      <w:tr w:rsidR="00D3373D" w:rsidRPr="00D3373D" w14:paraId="127050F1" w14:textId="77777777" w:rsidTr="00DA2AEE">
        <w:tc>
          <w:tcPr>
            <w:tcW w:w="4673" w:type="dxa"/>
            <w:tcBorders>
              <w:top w:val="single" w:sz="4" w:space="0" w:color="auto"/>
              <w:left w:val="single" w:sz="4" w:space="0" w:color="auto"/>
              <w:bottom w:val="single" w:sz="4" w:space="0" w:color="auto"/>
              <w:right w:val="single" w:sz="4" w:space="0" w:color="auto"/>
            </w:tcBorders>
            <w:hideMark/>
          </w:tcPr>
          <w:p w14:paraId="6EF0D8A2" w14:textId="77777777" w:rsidR="00D3373D" w:rsidRPr="00D3373D" w:rsidRDefault="00D3373D" w:rsidP="00DA2AEE">
            <w:pPr>
              <w:spacing w:after="0" w:line="240" w:lineRule="auto"/>
              <w:jc w:val="left"/>
              <w:outlineLvl w:val="1"/>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pompy ciepła powietrze-woda do c.w.u. </w:t>
            </w:r>
          </w:p>
        </w:tc>
        <w:tc>
          <w:tcPr>
            <w:tcW w:w="3969" w:type="dxa"/>
            <w:tcBorders>
              <w:top w:val="single" w:sz="4" w:space="0" w:color="auto"/>
              <w:left w:val="single" w:sz="4" w:space="0" w:color="auto"/>
              <w:bottom w:val="single" w:sz="4" w:space="0" w:color="auto"/>
              <w:right w:val="single" w:sz="4" w:space="0" w:color="auto"/>
            </w:tcBorders>
            <w:hideMark/>
          </w:tcPr>
          <w:p w14:paraId="28B3BD42" w14:textId="534C4732" w:rsidR="00D3373D" w:rsidRPr="00D3373D" w:rsidRDefault="00D3373D" w:rsidP="00DA2AEE">
            <w:pPr>
              <w:spacing w:after="0"/>
              <w:outlineLvl w:val="1"/>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-34</w:t>
            </w:r>
            <w:r w:rsidR="003A4B04">
              <w:rPr>
                <w:rFonts w:ascii="Calibri" w:eastAsia="Times New Roman" w:hAnsi="Calibri" w:cs="Calibri"/>
                <w:color w:val="000000"/>
                <w:kern w:val="0"/>
                <w:sz w:val="22"/>
                <w:lang w:eastAsia="pl-PL"/>
                <w14:ligatures w14:val="none"/>
              </w:rPr>
              <w:t xml:space="preserve"> </w:t>
            </w:r>
            <w:r w:rsidR="003A4B04" w:rsidRPr="003A4B04">
              <w:rPr>
                <w:rFonts w:ascii="Calibri" w:eastAsia="Times New Roman" w:hAnsi="Calibri" w:cs="Calibri"/>
                <w:color w:val="000000"/>
                <w:kern w:val="0"/>
                <w:sz w:val="22"/>
                <w:lang w:eastAsia="pl-PL"/>
                <w14:ligatures w14:val="none"/>
              </w:rPr>
              <w:t>proc.</w:t>
            </w:r>
          </w:p>
        </w:tc>
      </w:tr>
    </w:tbl>
    <w:p w14:paraId="79DDD75C" w14:textId="2E16DD93" w:rsidR="00D3373D" w:rsidRPr="00B03CDA" w:rsidRDefault="007E0CAD" w:rsidP="00D3373D">
      <w:pPr>
        <w:spacing w:after="100" w:line="240" w:lineRule="auto"/>
        <w:outlineLvl w:val="1"/>
        <w:rPr>
          <w:rFonts w:ascii="Calibri" w:eastAsia="Times New Roman" w:hAnsi="Calibri" w:cs="Calibri"/>
          <w:i/>
          <w:iCs/>
          <w:color w:val="002060"/>
          <w:kern w:val="0"/>
          <w:sz w:val="22"/>
          <w:lang w:eastAsia="pl-PL"/>
          <w14:ligatures w14:val="none"/>
        </w:rPr>
      </w:pPr>
      <w:r>
        <w:rPr>
          <w:rFonts w:ascii="Calibri" w:eastAsia="Times New Roman" w:hAnsi="Calibri" w:cs="Calibri"/>
          <w:i/>
          <w:iCs/>
          <w:color w:val="002060"/>
          <w:kern w:val="0"/>
          <w:sz w:val="22"/>
          <w:lang w:eastAsia="pl-PL"/>
          <w14:ligatures w14:val="none"/>
        </w:rPr>
        <w:t>Tab</w:t>
      </w:r>
      <w:r w:rsidR="00D3373D" w:rsidRPr="00B03CDA">
        <w:rPr>
          <w:rFonts w:ascii="Calibri" w:eastAsia="Times New Roman" w:hAnsi="Calibri" w:cs="Calibri"/>
          <w:i/>
          <w:iCs/>
          <w:color w:val="002060"/>
          <w:kern w:val="0"/>
          <w:sz w:val="22"/>
          <w:lang w:eastAsia="pl-PL"/>
          <w14:ligatures w14:val="none"/>
        </w:rPr>
        <w:t>. 1. Zmian</w:t>
      </w:r>
      <w:r w:rsidR="001D3E76">
        <w:rPr>
          <w:rFonts w:ascii="Calibri" w:eastAsia="Times New Roman" w:hAnsi="Calibri" w:cs="Calibri"/>
          <w:i/>
          <w:iCs/>
          <w:color w:val="002060"/>
          <w:kern w:val="0"/>
          <w:sz w:val="22"/>
          <w:lang w:eastAsia="pl-PL"/>
          <w14:ligatures w14:val="none"/>
        </w:rPr>
        <w:t>a</w:t>
      </w:r>
      <w:r w:rsidR="00D3373D" w:rsidRPr="00B03CDA">
        <w:rPr>
          <w:rFonts w:ascii="Calibri" w:eastAsia="Times New Roman" w:hAnsi="Calibri" w:cs="Calibri"/>
          <w:i/>
          <w:iCs/>
          <w:color w:val="002060"/>
          <w:kern w:val="0"/>
          <w:sz w:val="22"/>
          <w:lang w:eastAsia="pl-PL"/>
          <w14:ligatures w14:val="none"/>
        </w:rPr>
        <w:t xml:space="preserve"> sprzedaży dla poszczególnych typów pomp ciepła w I półroczu 2026 r. w porównaniu do I półrocza 2025 r. Źródło: PORT PC</w:t>
      </w:r>
    </w:p>
    <w:p w14:paraId="4E9BCBE6" w14:textId="16CF6665" w:rsidR="00D3373D" w:rsidRPr="00DA2AEE" w:rsidRDefault="00B03CDA" w:rsidP="00D3373D">
      <w:pPr>
        <w:spacing w:after="100"/>
        <w:outlineLvl w:val="1"/>
        <w:rPr>
          <w:rFonts w:ascii="Calibri" w:eastAsia="Times New Roman" w:hAnsi="Calibri" w:cs="Calibri"/>
          <w:b/>
          <w:bCs/>
          <w:color w:val="000000"/>
          <w:kern w:val="0"/>
          <w:sz w:val="22"/>
          <w:lang w:eastAsia="pl-PL"/>
          <w14:ligatures w14:val="none"/>
        </w:rPr>
      </w:pPr>
      <w:r w:rsidRPr="00DA2AEE">
        <w:rPr>
          <w:rFonts w:ascii="Calibri" w:eastAsia="Times New Roman" w:hAnsi="Calibri" w:cs="Calibri"/>
          <w:b/>
          <w:bCs/>
          <w:color w:val="000000"/>
          <w:kern w:val="0"/>
          <w:sz w:val="22"/>
          <w:lang w:eastAsia="pl-PL"/>
          <w14:ligatures w14:val="none"/>
        </w:rPr>
        <w:t>D</w:t>
      </w:r>
      <w:r w:rsidR="00D3373D" w:rsidRPr="00DA2AEE">
        <w:rPr>
          <w:rFonts w:ascii="Calibri" w:eastAsia="Times New Roman" w:hAnsi="Calibri" w:cs="Calibri"/>
          <w:b/>
          <w:bCs/>
          <w:color w:val="000000"/>
          <w:kern w:val="0"/>
          <w:sz w:val="22"/>
          <w:lang w:eastAsia="pl-PL"/>
          <w14:ligatures w14:val="none"/>
        </w:rPr>
        <w:t>o hurtowni i instalatorów</w:t>
      </w:r>
      <w:r w:rsidRPr="00DA2AEE">
        <w:rPr>
          <w:rFonts w:ascii="Calibri" w:eastAsia="Times New Roman" w:hAnsi="Calibri" w:cs="Calibri"/>
          <w:b/>
          <w:bCs/>
          <w:color w:val="000000"/>
          <w:kern w:val="0"/>
          <w:sz w:val="22"/>
          <w:lang w:eastAsia="pl-PL"/>
          <w14:ligatures w14:val="none"/>
        </w:rPr>
        <w:t xml:space="preserve"> trafiło około 36 tys. pomp do c.o.</w:t>
      </w:r>
    </w:p>
    <w:p w14:paraId="1988DB09" w14:textId="374A05B1" w:rsidR="00330EBA" w:rsidRDefault="001D3E76" w:rsidP="00D3373D">
      <w:pPr>
        <w:spacing w:after="100"/>
        <w:rPr>
          <w:rFonts w:ascii="Calibri" w:hAnsi="Calibri" w:cs="Calibri"/>
          <w:color w:val="000000"/>
          <w:sz w:val="22"/>
        </w:rPr>
      </w:pPr>
      <w:r w:rsidRPr="001D3E76">
        <w:rPr>
          <w:rFonts w:ascii="Calibri" w:eastAsia="Times New Roman" w:hAnsi="Calibri" w:cs="Calibri"/>
          <w:color w:val="000000"/>
          <w:kern w:val="0"/>
          <w:sz w:val="22"/>
          <w:lang w:eastAsia="pl-PL"/>
          <w14:ligatures w14:val="none"/>
        </w:rPr>
        <w:t>PORT PC szacuje, że w I półroczu 2026 r. producenci i importerzy sprzedali do hurtowni oraz instalatorów około 4 tys. gruntowych pomp ciepła i około 32 tys. pomp ciepła typu powietrze-woda do ogrzewania budynków. PORT PC nie dysponuje pełnymi danymi dotyczącymi sprzedaży do użytkowników końcowych. Ponieważ część instalacji mogła być realizowana z wykorzystaniem urządzeń znajdujących się wcześniej w magazynach dystrybutorów i firm instalacyjnych, liczba pomp ciepła zamontowanych u klientów w tym okresie nie musi odpowiadać sprzedaży raportowanej przez producentów i importerów</w:t>
      </w:r>
      <w:r w:rsidR="00285FC5" w:rsidRPr="00285FC5">
        <w:rPr>
          <w:rFonts w:ascii="Calibri" w:hAnsi="Calibri" w:cs="Calibri"/>
          <w:color w:val="000000"/>
          <w:sz w:val="22"/>
        </w:rPr>
        <w:t>.</w:t>
      </w:r>
      <w:r w:rsidR="00330EBA">
        <w:rPr>
          <w:rFonts w:ascii="Calibri" w:hAnsi="Calibri" w:cs="Calibri"/>
          <w:color w:val="000000"/>
          <w:sz w:val="22"/>
        </w:rPr>
        <w:t xml:space="preserve"> </w:t>
      </w:r>
    </w:p>
    <w:p w14:paraId="32A38E74" w14:textId="3D2F608A" w:rsidR="00D3373D" w:rsidRPr="00330EBA" w:rsidRDefault="00D3373D" w:rsidP="00D3373D">
      <w:pPr>
        <w:spacing w:after="100"/>
        <w:rPr>
          <w:rFonts w:ascii="Calibri" w:hAnsi="Calibri" w:cs="Calibri"/>
          <w:color w:val="000000"/>
          <w:sz w:val="22"/>
        </w:rPr>
      </w:pPr>
      <w:r w:rsidRPr="00D3373D">
        <w:rPr>
          <w:rFonts w:ascii="Calibri" w:eastAsia="Times New Roman" w:hAnsi="Calibri" w:cs="Calibri"/>
          <w:color w:val="000000"/>
          <w:kern w:val="0"/>
          <w:sz w:val="22"/>
          <w:lang w:eastAsia="pl-PL"/>
          <w14:ligatures w14:val="none"/>
        </w:rPr>
        <w:t xml:space="preserve">Jednocześnie, według szacunków PORT PC, w pierwszym półroczu 2026 r. </w:t>
      </w:r>
      <w:r w:rsidR="001D3E76" w:rsidRPr="001D3E76">
        <w:rPr>
          <w:rFonts w:ascii="Calibri" w:eastAsia="Times New Roman" w:hAnsi="Calibri" w:cs="Calibri"/>
          <w:color w:val="000000"/>
          <w:kern w:val="0"/>
          <w:sz w:val="22"/>
          <w:lang w:eastAsia="pl-PL"/>
          <w14:ligatures w14:val="none"/>
        </w:rPr>
        <w:t>sprzedano ponad 200 tys.</w:t>
      </w:r>
      <w:r w:rsidRPr="00D3373D">
        <w:rPr>
          <w:rFonts w:ascii="Calibri" w:eastAsia="Times New Roman" w:hAnsi="Calibri" w:cs="Calibri"/>
          <w:color w:val="000000"/>
          <w:kern w:val="0"/>
          <w:sz w:val="22"/>
          <w:lang w:eastAsia="pl-PL"/>
          <w14:ligatures w14:val="none"/>
        </w:rPr>
        <w:t xml:space="preserve"> klimatyzatorów z funkcją grzania, czyli pomp ciepła typu powietrze-powietrze. PORT PC nie </w:t>
      </w:r>
      <w:r w:rsidR="001D3E76">
        <w:rPr>
          <w:rFonts w:ascii="Calibri" w:eastAsia="Times New Roman" w:hAnsi="Calibri" w:cs="Calibri"/>
          <w:color w:val="000000"/>
          <w:kern w:val="0"/>
          <w:sz w:val="22"/>
          <w:lang w:eastAsia="pl-PL"/>
          <w14:ligatures w14:val="none"/>
        </w:rPr>
        <w:t>dysponuje</w:t>
      </w:r>
      <w:r w:rsidRPr="00D3373D">
        <w:rPr>
          <w:rFonts w:ascii="Calibri" w:eastAsia="Times New Roman" w:hAnsi="Calibri" w:cs="Calibri"/>
          <w:color w:val="000000"/>
          <w:kern w:val="0"/>
          <w:sz w:val="22"/>
          <w:lang w:eastAsia="pl-PL"/>
          <w14:ligatures w14:val="none"/>
        </w:rPr>
        <w:t xml:space="preserve"> jednak pełny</w:t>
      </w:r>
      <w:r w:rsidR="001D3E76">
        <w:rPr>
          <w:rFonts w:ascii="Calibri" w:eastAsia="Times New Roman" w:hAnsi="Calibri" w:cs="Calibri"/>
          <w:color w:val="000000"/>
          <w:kern w:val="0"/>
          <w:sz w:val="22"/>
          <w:lang w:eastAsia="pl-PL"/>
          <w14:ligatures w14:val="none"/>
        </w:rPr>
        <w:t>mi</w:t>
      </w:r>
      <w:r w:rsidRPr="00D3373D">
        <w:rPr>
          <w:rFonts w:ascii="Calibri" w:eastAsia="Times New Roman" w:hAnsi="Calibri" w:cs="Calibri"/>
          <w:color w:val="000000"/>
          <w:kern w:val="0"/>
          <w:sz w:val="22"/>
          <w:lang w:eastAsia="pl-PL"/>
          <w14:ligatures w14:val="none"/>
        </w:rPr>
        <w:t xml:space="preserve"> statystyk</w:t>
      </w:r>
      <w:r w:rsidR="001D3E76">
        <w:rPr>
          <w:rFonts w:ascii="Calibri" w:eastAsia="Times New Roman" w:hAnsi="Calibri" w:cs="Calibri"/>
          <w:color w:val="000000"/>
          <w:kern w:val="0"/>
          <w:sz w:val="22"/>
          <w:lang w:eastAsia="pl-PL"/>
          <w14:ligatures w14:val="none"/>
        </w:rPr>
        <w:t>ami</w:t>
      </w:r>
      <w:r w:rsidRPr="00D3373D">
        <w:rPr>
          <w:rFonts w:ascii="Calibri" w:eastAsia="Times New Roman" w:hAnsi="Calibri" w:cs="Calibri"/>
          <w:color w:val="000000"/>
          <w:kern w:val="0"/>
          <w:sz w:val="22"/>
          <w:lang w:eastAsia="pl-PL"/>
          <w14:ligatures w14:val="none"/>
        </w:rPr>
        <w:t xml:space="preserve"> dotyczących tego segmentu rynku.</w:t>
      </w:r>
    </w:p>
    <w:p w14:paraId="479CB9B4" w14:textId="6DA573B0" w:rsidR="00D3373D" w:rsidRPr="00DA2AEE" w:rsidRDefault="00D3373D" w:rsidP="00D3373D">
      <w:pPr>
        <w:spacing w:after="100"/>
        <w:outlineLvl w:val="1"/>
        <w:rPr>
          <w:rFonts w:ascii="Calibri" w:eastAsia="Times New Roman" w:hAnsi="Calibri" w:cs="Calibri"/>
          <w:b/>
          <w:bCs/>
          <w:color w:val="000000"/>
          <w:kern w:val="0"/>
          <w:sz w:val="22"/>
          <w:lang w:eastAsia="pl-PL"/>
          <w14:ligatures w14:val="none"/>
        </w:rPr>
      </w:pPr>
      <w:r w:rsidRPr="00DA2AEE">
        <w:rPr>
          <w:rFonts w:ascii="Calibri" w:eastAsia="Times New Roman" w:hAnsi="Calibri" w:cs="Calibri"/>
          <w:b/>
          <w:bCs/>
          <w:color w:val="000000"/>
          <w:kern w:val="0"/>
          <w:sz w:val="22"/>
          <w:lang w:eastAsia="pl-PL"/>
          <w14:ligatures w14:val="none"/>
        </w:rPr>
        <w:t xml:space="preserve">Odbicie rynku przyspieszyło w </w:t>
      </w:r>
      <w:r w:rsidR="00B03CDA" w:rsidRPr="00DA2AEE">
        <w:rPr>
          <w:rFonts w:ascii="Calibri" w:eastAsia="Times New Roman" w:hAnsi="Calibri" w:cs="Calibri"/>
          <w:b/>
          <w:bCs/>
          <w:color w:val="000000"/>
          <w:kern w:val="0"/>
          <w:sz w:val="22"/>
          <w:lang w:eastAsia="pl-PL"/>
          <w14:ligatures w14:val="none"/>
        </w:rPr>
        <w:t>II</w:t>
      </w:r>
      <w:r w:rsidRPr="00DA2AEE">
        <w:rPr>
          <w:rFonts w:ascii="Calibri" w:eastAsia="Times New Roman" w:hAnsi="Calibri" w:cs="Calibri"/>
          <w:b/>
          <w:bCs/>
          <w:color w:val="000000"/>
          <w:kern w:val="0"/>
          <w:sz w:val="22"/>
          <w:lang w:eastAsia="pl-PL"/>
          <w14:ligatures w14:val="none"/>
        </w:rPr>
        <w:t xml:space="preserve"> kwartale</w:t>
      </w:r>
    </w:p>
    <w:p w14:paraId="23A50AFB" w14:textId="3F8416A5" w:rsidR="009A2982" w:rsidRDefault="00D3373D" w:rsidP="00DA2AEE">
      <w:pPr>
        <w:spacing w:after="140"/>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Wyniki </w:t>
      </w:r>
      <w:r w:rsidR="00B03CDA">
        <w:rPr>
          <w:rFonts w:ascii="Calibri" w:eastAsia="Times New Roman" w:hAnsi="Calibri" w:cs="Calibri"/>
          <w:color w:val="000000"/>
          <w:kern w:val="0"/>
          <w:sz w:val="22"/>
          <w:lang w:eastAsia="pl-PL"/>
          <w14:ligatures w14:val="none"/>
        </w:rPr>
        <w:t>II</w:t>
      </w:r>
      <w:r w:rsidRPr="00D3373D">
        <w:rPr>
          <w:rFonts w:ascii="Calibri" w:eastAsia="Times New Roman" w:hAnsi="Calibri" w:cs="Calibri"/>
          <w:color w:val="000000"/>
          <w:kern w:val="0"/>
          <w:sz w:val="22"/>
          <w:lang w:eastAsia="pl-PL"/>
          <w14:ligatures w14:val="none"/>
        </w:rPr>
        <w:t xml:space="preserve"> kwartału wskazują na dalsze przyspieszenie odbudowy rynku. Sprzedaż wszystkich pomp ciepła do centralnego ogrzewania wzrosła w tym okresie o 22 proc. rok do roku. W segmencie powietrze-woda wzrost wyniósł 17 proc., a dla gruntowych pomp ciepła aż 77 proc. Sprzedaż </w:t>
      </w:r>
      <w:proofErr w:type="spellStart"/>
      <w:r w:rsidRPr="00D3373D">
        <w:rPr>
          <w:rFonts w:ascii="Calibri" w:eastAsia="Times New Roman" w:hAnsi="Calibri" w:cs="Calibri"/>
          <w:color w:val="000000"/>
          <w:kern w:val="0"/>
          <w:sz w:val="22"/>
          <w:lang w:eastAsia="pl-PL"/>
          <w14:ligatures w14:val="none"/>
        </w:rPr>
        <w:t>splitów</w:t>
      </w:r>
      <w:proofErr w:type="spellEnd"/>
      <w:r w:rsidRPr="00D3373D">
        <w:rPr>
          <w:rFonts w:ascii="Calibri" w:eastAsia="Times New Roman" w:hAnsi="Calibri" w:cs="Calibri"/>
          <w:color w:val="000000"/>
          <w:kern w:val="0"/>
          <w:sz w:val="22"/>
          <w:lang w:eastAsia="pl-PL"/>
          <w14:ligatures w14:val="none"/>
        </w:rPr>
        <w:t xml:space="preserve"> zwiększyła się o 20 proc., natomiast monobloków o 7 proc. </w:t>
      </w:r>
    </w:p>
    <w:p w14:paraId="15E99CB5" w14:textId="77777777" w:rsidR="001D3E76" w:rsidRPr="00D3373D" w:rsidRDefault="001D3E76" w:rsidP="00DA2AEE">
      <w:pPr>
        <w:spacing w:after="140"/>
        <w:rPr>
          <w:rFonts w:ascii="Calibri" w:eastAsia="Times New Roman" w:hAnsi="Calibri" w:cs="Calibri"/>
          <w:color w:val="000000"/>
          <w:kern w:val="0"/>
          <w:sz w:val="22"/>
          <w:lang w:eastAsia="pl-PL"/>
          <w14:ligatures w14:val="none"/>
        </w:rPr>
      </w:pPr>
    </w:p>
    <w:tbl>
      <w:tblPr>
        <w:tblStyle w:val="Tabela-Siatka"/>
        <w:tblW w:w="0" w:type="auto"/>
        <w:tblLook w:val="04A0" w:firstRow="1" w:lastRow="0" w:firstColumn="1" w:lastColumn="0" w:noHBand="0" w:noVBand="1"/>
      </w:tblPr>
      <w:tblGrid>
        <w:gridCol w:w="4673"/>
        <w:gridCol w:w="3827"/>
      </w:tblGrid>
      <w:tr w:rsidR="00D3373D" w:rsidRPr="00D3373D" w14:paraId="25EC00B1" w14:textId="77777777" w:rsidTr="00DA2AEE">
        <w:tc>
          <w:tcPr>
            <w:tcW w:w="467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94EBCE" w14:textId="77777777" w:rsidR="00D3373D" w:rsidRPr="00D3373D" w:rsidRDefault="00D3373D" w:rsidP="00DA2AEE">
            <w:pPr>
              <w:spacing w:after="0"/>
              <w:rPr>
                <w:rFonts w:ascii="Calibri" w:eastAsia="Times New Roman" w:hAnsi="Calibri" w:cs="Calibri"/>
                <w:b/>
                <w:bCs/>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lastRenderedPageBreak/>
              <w:t>Typ pompy ciepła</w:t>
            </w:r>
          </w:p>
        </w:tc>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272610" w14:textId="77777777" w:rsidR="00D3373D" w:rsidRPr="00D3373D" w:rsidRDefault="00D3373D" w:rsidP="00DA2AEE">
            <w:pPr>
              <w:spacing w:after="0"/>
              <w:rPr>
                <w:rFonts w:ascii="Calibri" w:eastAsia="Times New Roman" w:hAnsi="Calibri" w:cs="Calibri"/>
                <w:b/>
                <w:bCs/>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Zmiany sprzedaży II kw.: 2026/2025</w:t>
            </w:r>
          </w:p>
        </w:tc>
      </w:tr>
      <w:tr w:rsidR="00D3373D" w:rsidRPr="00D3373D" w14:paraId="5886C4C8" w14:textId="77777777" w:rsidTr="00DA2AEE">
        <w:tc>
          <w:tcPr>
            <w:tcW w:w="4673" w:type="dxa"/>
            <w:tcBorders>
              <w:top w:val="single" w:sz="4" w:space="0" w:color="auto"/>
              <w:left w:val="single" w:sz="4" w:space="0" w:color="auto"/>
              <w:bottom w:val="single" w:sz="4" w:space="0" w:color="auto"/>
              <w:right w:val="single" w:sz="4" w:space="0" w:color="auto"/>
            </w:tcBorders>
            <w:hideMark/>
          </w:tcPr>
          <w:p w14:paraId="69E347B6" w14:textId="77777777" w:rsidR="00D3373D" w:rsidRPr="00D3373D" w:rsidRDefault="00D3373D" w:rsidP="00DA2AEE">
            <w:pPr>
              <w:spacing w:after="0"/>
              <w:jc w:val="left"/>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pompy ciepła do centralnego ogrzewania ogółem </w:t>
            </w:r>
          </w:p>
        </w:tc>
        <w:tc>
          <w:tcPr>
            <w:tcW w:w="3827" w:type="dxa"/>
            <w:tcBorders>
              <w:top w:val="single" w:sz="4" w:space="0" w:color="auto"/>
              <w:left w:val="single" w:sz="4" w:space="0" w:color="auto"/>
              <w:bottom w:val="single" w:sz="4" w:space="0" w:color="auto"/>
              <w:right w:val="single" w:sz="4" w:space="0" w:color="auto"/>
            </w:tcBorders>
            <w:hideMark/>
          </w:tcPr>
          <w:p w14:paraId="4F4300E9" w14:textId="60EBF8D4" w:rsidR="00D3373D" w:rsidRPr="00D3373D" w:rsidRDefault="00D3373D" w:rsidP="003A4B04">
            <w:pPr>
              <w:spacing w:after="0"/>
              <w:jc w:val="left"/>
              <w:rPr>
                <w:rFonts w:ascii="Calibri" w:eastAsia="Times New Roman" w:hAnsi="Calibri" w:cs="Calibri"/>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+22</w:t>
            </w:r>
            <w:r w:rsidR="003A4B04">
              <w:rPr>
                <w:rFonts w:ascii="Calibri" w:eastAsia="Times New Roman" w:hAnsi="Calibri" w:cs="Calibri"/>
                <w:b/>
                <w:bCs/>
                <w:color w:val="000000"/>
                <w:kern w:val="0"/>
                <w:sz w:val="22"/>
                <w:lang w:eastAsia="pl-PL"/>
                <w14:ligatures w14:val="none"/>
              </w:rPr>
              <w:t xml:space="preserve"> proc.</w:t>
            </w:r>
          </w:p>
        </w:tc>
      </w:tr>
      <w:tr w:rsidR="00D3373D" w:rsidRPr="00D3373D" w14:paraId="29B532D6" w14:textId="77777777" w:rsidTr="00DA2AEE">
        <w:tc>
          <w:tcPr>
            <w:tcW w:w="4673" w:type="dxa"/>
            <w:tcBorders>
              <w:top w:val="single" w:sz="4" w:space="0" w:color="auto"/>
              <w:left w:val="single" w:sz="4" w:space="0" w:color="auto"/>
              <w:bottom w:val="single" w:sz="4" w:space="0" w:color="auto"/>
              <w:right w:val="single" w:sz="4" w:space="0" w:color="auto"/>
            </w:tcBorders>
            <w:hideMark/>
          </w:tcPr>
          <w:p w14:paraId="45381A34" w14:textId="77777777" w:rsidR="00D3373D" w:rsidRPr="00D3373D" w:rsidRDefault="00D3373D" w:rsidP="00DA2AEE">
            <w:pPr>
              <w:spacing w:after="0"/>
              <w:jc w:val="left"/>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pompy ciepła powietrze-woda ogółem</w:t>
            </w:r>
          </w:p>
        </w:tc>
        <w:tc>
          <w:tcPr>
            <w:tcW w:w="3827" w:type="dxa"/>
            <w:tcBorders>
              <w:top w:val="single" w:sz="4" w:space="0" w:color="auto"/>
              <w:left w:val="single" w:sz="4" w:space="0" w:color="auto"/>
              <w:bottom w:val="single" w:sz="4" w:space="0" w:color="auto"/>
              <w:right w:val="single" w:sz="4" w:space="0" w:color="auto"/>
            </w:tcBorders>
            <w:hideMark/>
          </w:tcPr>
          <w:p w14:paraId="145205CD" w14:textId="6C0B1429" w:rsidR="00D3373D" w:rsidRPr="00D3373D" w:rsidRDefault="00D3373D" w:rsidP="00DA2AEE">
            <w:pPr>
              <w:spacing w:after="0"/>
              <w:rPr>
                <w:rFonts w:ascii="Calibri" w:eastAsia="Times New Roman" w:hAnsi="Calibri" w:cs="Calibri"/>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+17</w:t>
            </w:r>
            <w:r w:rsidR="003A4B04">
              <w:rPr>
                <w:rFonts w:ascii="Calibri" w:eastAsia="Times New Roman" w:hAnsi="Calibri" w:cs="Calibri"/>
                <w:b/>
                <w:bCs/>
                <w:color w:val="000000"/>
                <w:kern w:val="0"/>
                <w:sz w:val="22"/>
                <w:lang w:eastAsia="pl-PL"/>
                <w14:ligatures w14:val="none"/>
              </w:rPr>
              <w:t xml:space="preserve"> proc.</w:t>
            </w:r>
          </w:p>
        </w:tc>
      </w:tr>
      <w:tr w:rsidR="00D3373D" w:rsidRPr="00D3373D" w14:paraId="215FF8FA" w14:textId="77777777" w:rsidTr="00DA2AEE">
        <w:tc>
          <w:tcPr>
            <w:tcW w:w="4673" w:type="dxa"/>
            <w:tcBorders>
              <w:top w:val="single" w:sz="4" w:space="0" w:color="auto"/>
              <w:left w:val="single" w:sz="4" w:space="0" w:color="auto"/>
              <w:bottom w:val="single" w:sz="4" w:space="0" w:color="auto"/>
              <w:right w:val="single" w:sz="4" w:space="0" w:color="auto"/>
            </w:tcBorders>
            <w:hideMark/>
          </w:tcPr>
          <w:p w14:paraId="276BF969" w14:textId="77777777" w:rsidR="00D3373D" w:rsidRPr="00D3373D" w:rsidRDefault="00D3373D" w:rsidP="00DA2AEE">
            <w:pPr>
              <w:spacing w:after="0"/>
              <w:jc w:val="left"/>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pompy ciepła solanka-woda lub woda-woda </w:t>
            </w:r>
          </w:p>
        </w:tc>
        <w:tc>
          <w:tcPr>
            <w:tcW w:w="3827" w:type="dxa"/>
            <w:tcBorders>
              <w:top w:val="single" w:sz="4" w:space="0" w:color="auto"/>
              <w:left w:val="single" w:sz="4" w:space="0" w:color="auto"/>
              <w:bottom w:val="single" w:sz="4" w:space="0" w:color="auto"/>
              <w:right w:val="single" w:sz="4" w:space="0" w:color="auto"/>
            </w:tcBorders>
            <w:hideMark/>
          </w:tcPr>
          <w:p w14:paraId="744BF76D" w14:textId="261D2A53" w:rsidR="00D3373D" w:rsidRPr="00D3373D" w:rsidRDefault="00D3373D" w:rsidP="00DA2AEE">
            <w:pPr>
              <w:spacing w:after="0"/>
              <w:rPr>
                <w:rFonts w:ascii="Calibri" w:eastAsia="Times New Roman" w:hAnsi="Calibri" w:cs="Calibri"/>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+77</w:t>
            </w:r>
            <w:r w:rsidR="003A4B04">
              <w:rPr>
                <w:rFonts w:ascii="Calibri" w:eastAsia="Times New Roman" w:hAnsi="Calibri" w:cs="Calibri"/>
                <w:b/>
                <w:bCs/>
                <w:color w:val="000000"/>
                <w:kern w:val="0"/>
                <w:sz w:val="22"/>
                <w:lang w:eastAsia="pl-PL"/>
                <w14:ligatures w14:val="none"/>
              </w:rPr>
              <w:t xml:space="preserve"> proc.</w:t>
            </w:r>
          </w:p>
        </w:tc>
      </w:tr>
      <w:tr w:rsidR="00D3373D" w:rsidRPr="00D3373D" w14:paraId="549F8104" w14:textId="77777777" w:rsidTr="00DA2AEE">
        <w:tc>
          <w:tcPr>
            <w:tcW w:w="4673" w:type="dxa"/>
            <w:tcBorders>
              <w:top w:val="single" w:sz="4" w:space="0" w:color="auto"/>
              <w:left w:val="single" w:sz="4" w:space="0" w:color="auto"/>
              <w:bottom w:val="single" w:sz="4" w:space="0" w:color="auto"/>
              <w:right w:val="single" w:sz="4" w:space="0" w:color="auto"/>
            </w:tcBorders>
            <w:hideMark/>
          </w:tcPr>
          <w:p w14:paraId="79DF4358" w14:textId="77777777" w:rsidR="00D3373D" w:rsidRPr="00D3373D" w:rsidRDefault="00D3373D" w:rsidP="00DA2AEE">
            <w:pPr>
              <w:spacing w:after="0"/>
              <w:jc w:val="left"/>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pompy ciepła powietrze-woda typu </w:t>
            </w:r>
            <w:proofErr w:type="spellStart"/>
            <w:r w:rsidRPr="00D3373D">
              <w:rPr>
                <w:rFonts w:ascii="Calibri" w:eastAsia="Times New Roman" w:hAnsi="Calibri" w:cs="Calibri"/>
                <w:color w:val="000000"/>
                <w:kern w:val="0"/>
                <w:sz w:val="22"/>
                <w:lang w:eastAsia="pl-PL"/>
                <w14:ligatures w14:val="none"/>
              </w:rPr>
              <w:t>split</w:t>
            </w:r>
            <w:proofErr w:type="spellEnd"/>
            <w:r w:rsidRPr="00D3373D">
              <w:rPr>
                <w:rFonts w:ascii="Calibri" w:eastAsia="Times New Roman" w:hAnsi="Calibri" w:cs="Calibri"/>
                <w:color w:val="000000"/>
                <w:kern w:val="0"/>
                <w:sz w:val="22"/>
                <w:lang w:eastAsia="pl-PL"/>
                <w14:ligatures w14:val="none"/>
              </w:rPr>
              <w:t xml:space="preserve"> </w:t>
            </w:r>
          </w:p>
        </w:tc>
        <w:tc>
          <w:tcPr>
            <w:tcW w:w="3827" w:type="dxa"/>
            <w:tcBorders>
              <w:top w:val="single" w:sz="4" w:space="0" w:color="auto"/>
              <w:left w:val="single" w:sz="4" w:space="0" w:color="auto"/>
              <w:bottom w:val="single" w:sz="4" w:space="0" w:color="auto"/>
              <w:right w:val="single" w:sz="4" w:space="0" w:color="auto"/>
            </w:tcBorders>
            <w:hideMark/>
          </w:tcPr>
          <w:p w14:paraId="05276D79" w14:textId="539C4695" w:rsidR="00D3373D" w:rsidRPr="00D3373D" w:rsidRDefault="00D3373D" w:rsidP="00DA2AEE">
            <w:pPr>
              <w:spacing w:after="0"/>
              <w:rPr>
                <w:rFonts w:ascii="Calibri" w:eastAsia="Times New Roman" w:hAnsi="Calibri" w:cs="Calibri"/>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+20</w:t>
            </w:r>
            <w:r w:rsidR="003A4B04">
              <w:rPr>
                <w:rFonts w:ascii="Calibri" w:eastAsia="Times New Roman" w:hAnsi="Calibri" w:cs="Calibri"/>
                <w:b/>
                <w:bCs/>
                <w:color w:val="000000"/>
                <w:kern w:val="0"/>
                <w:sz w:val="22"/>
                <w:lang w:eastAsia="pl-PL"/>
                <w14:ligatures w14:val="none"/>
              </w:rPr>
              <w:t xml:space="preserve"> proc.</w:t>
            </w:r>
          </w:p>
        </w:tc>
      </w:tr>
      <w:tr w:rsidR="00D3373D" w:rsidRPr="00D3373D" w14:paraId="76FBCE0D" w14:textId="77777777" w:rsidTr="00DA2AEE">
        <w:tc>
          <w:tcPr>
            <w:tcW w:w="4673" w:type="dxa"/>
            <w:tcBorders>
              <w:top w:val="single" w:sz="4" w:space="0" w:color="auto"/>
              <w:left w:val="single" w:sz="4" w:space="0" w:color="auto"/>
              <w:bottom w:val="single" w:sz="4" w:space="0" w:color="auto"/>
              <w:right w:val="single" w:sz="4" w:space="0" w:color="auto"/>
            </w:tcBorders>
            <w:hideMark/>
          </w:tcPr>
          <w:p w14:paraId="062549ED" w14:textId="77777777" w:rsidR="00D3373D" w:rsidRPr="00D3373D" w:rsidRDefault="00D3373D" w:rsidP="00DA2AEE">
            <w:pPr>
              <w:spacing w:after="0"/>
              <w:jc w:val="left"/>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pompy ciepła powietrze-woda typu monoblok</w:t>
            </w:r>
          </w:p>
        </w:tc>
        <w:tc>
          <w:tcPr>
            <w:tcW w:w="3827" w:type="dxa"/>
            <w:tcBorders>
              <w:top w:val="single" w:sz="4" w:space="0" w:color="auto"/>
              <w:left w:val="single" w:sz="4" w:space="0" w:color="auto"/>
              <w:bottom w:val="single" w:sz="4" w:space="0" w:color="auto"/>
              <w:right w:val="single" w:sz="4" w:space="0" w:color="auto"/>
            </w:tcBorders>
            <w:hideMark/>
          </w:tcPr>
          <w:p w14:paraId="5F91C9E9" w14:textId="64880692" w:rsidR="00D3373D" w:rsidRPr="00D3373D" w:rsidRDefault="00D3373D" w:rsidP="00DA2AEE">
            <w:pPr>
              <w:spacing w:after="0"/>
              <w:rPr>
                <w:rFonts w:ascii="Calibri" w:eastAsia="Times New Roman" w:hAnsi="Calibri" w:cs="Calibri"/>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+7</w:t>
            </w:r>
            <w:r w:rsidR="003A4B04">
              <w:rPr>
                <w:rFonts w:ascii="Calibri" w:eastAsia="Times New Roman" w:hAnsi="Calibri" w:cs="Calibri"/>
                <w:b/>
                <w:bCs/>
                <w:color w:val="000000"/>
                <w:kern w:val="0"/>
                <w:sz w:val="22"/>
                <w:lang w:eastAsia="pl-PL"/>
                <w14:ligatures w14:val="none"/>
              </w:rPr>
              <w:t xml:space="preserve"> proc.</w:t>
            </w:r>
          </w:p>
        </w:tc>
      </w:tr>
      <w:tr w:rsidR="00D3373D" w:rsidRPr="00D3373D" w14:paraId="08E70744" w14:textId="77777777" w:rsidTr="00DA2AEE">
        <w:tc>
          <w:tcPr>
            <w:tcW w:w="4673" w:type="dxa"/>
            <w:tcBorders>
              <w:top w:val="single" w:sz="4" w:space="0" w:color="auto"/>
              <w:left w:val="single" w:sz="4" w:space="0" w:color="auto"/>
              <w:bottom w:val="single" w:sz="4" w:space="0" w:color="auto"/>
              <w:right w:val="single" w:sz="4" w:space="0" w:color="auto"/>
            </w:tcBorders>
            <w:hideMark/>
          </w:tcPr>
          <w:p w14:paraId="351CC3D5" w14:textId="77777777" w:rsidR="00D3373D" w:rsidRPr="00D3373D" w:rsidRDefault="00D3373D" w:rsidP="00DA2AEE">
            <w:pPr>
              <w:spacing w:after="0" w:line="240" w:lineRule="auto"/>
              <w:jc w:val="left"/>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pompy ciepła powietrze-woda do c.w.u. </w:t>
            </w:r>
          </w:p>
        </w:tc>
        <w:tc>
          <w:tcPr>
            <w:tcW w:w="3827" w:type="dxa"/>
            <w:tcBorders>
              <w:top w:val="single" w:sz="4" w:space="0" w:color="auto"/>
              <w:left w:val="single" w:sz="4" w:space="0" w:color="auto"/>
              <w:bottom w:val="single" w:sz="4" w:space="0" w:color="auto"/>
              <w:right w:val="single" w:sz="4" w:space="0" w:color="auto"/>
            </w:tcBorders>
            <w:hideMark/>
          </w:tcPr>
          <w:p w14:paraId="2B9186A4" w14:textId="0768BDA3" w:rsidR="00D3373D" w:rsidRPr="00B03CDA" w:rsidRDefault="00D3373D" w:rsidP="00DA2AEE">
            <w:pPr>
              <w:spacing w:after="0"/>
              <w:rPr>
                <w:rFonts w:ascii="Calibri" w:eastAsia="Times New Roman" w:hAnsi="Calibri" w:cs="Calibri"/>
                <w:color w:val="000000"/>
                <w:kern w:val="0"/>
                <w:sz w:val="22"/>
                <w:lang w:eastAsia="pl-PL"/>
                <w14:ligatures w14:val="none"/>
              </w:rPr>
            </w:pPr>
            <w:r w:rsidRPr="00B03CDA">
              <w:rPr>
                <w:rFonts w:ascii="Calibri" w:eastAsia="Times New Roman" w:hAnsi="Calibri" w:cs="Calibri"/>
                <w:color w:val="000000"/>
                <w:kern w:val="0"/>
                <w:sz w:val="22"/>
                <w:lang w:eastAsia="pl-PL"/>
                <w14:ligatures w14:val="none"/>
              </w:rPr>
              <w:t>-26</w:t>
            </w:r>
            <w:r w:rsidR="003A4B04">
              <w:rPr>
                <w:rFonts w:ascii="Calibri" w:eastAsia="Times New Roman" w:hAnsi="Calibri" w:cs="Calibri"/>
                <w:b/>
                <w:bCs/>
                <w:color w:val="000000"/>
                <w:kern w:val="0"/>
                <w:sz w:val="22"/>
                <w:lang w:eastAsia="pl-PL"/>
                <w14:ligatures w14:val="none"/>
              </w:rPr>
              <w:t xml:space="preserve"> </w:t>
            </w:r>
            <w:r w:rsidR="003A4B04" w:rsidRPr="003A4B04">
              <w:rPr>
                <w:rFonts w:ascii="Calibri" w:eastAsia="Times New Roman" w:hAnsi="Calibri" w:cs="Calibri"/>
                <w:color w:val="000000"/>
                <w:kern w:val="0"/>
                <w:sz w:val="22"/>
                <w:lang w:eastAsia="pl-PL"/>
                <w14:ligatures w14:val="none"/>
              </w:rPr>
              <w:t>proc.</w:t>
            </w:r>
          </w:p>
        </w:tc>
      </w:tr>
    </w:tbl>
    <w:p w14:paraId="5FCB06D0" w14:textId="5342BD8A" w:rsidR="00DA2AEE" w:rsidRDefault="007E0CAD" w:rsidP="00DA2AEE">
      <w:pPr>
        <w:spacing w:after="140" w:line="240" w:lineRule="auto"/>
        <w:rPr>
          <w:rFonts w:ascii="Calibri" w:eastAsia="Times New Roman" w:hAnsi="Calibri" w:cs="Calibri"/>
          <w:i/>
          <w:iCs/>
          <w:color w:val="002060"/>
          <w:kern w:val="0"/>
          <w:sz w:val="22"/>
          <w:lang w:eastAsia="pl-PL"/>
          <w14:ligatures w14:val="none"/>
        </w:rPr>
      </w:pPr>
      <w:r>
        <w:rPr>
          <w:rFonts w:ascii="Calibri" w:eastAsia="Times New Roman" w:hAnsi="Calibri" w:cs="Calibri"/>
          <w:i/>
          <w:iCs/>
          <w:color w:val="002060"/>
          <w:kern w:val="0"/>
          <w:sz w:val="22"/>
          <w:lang w:eastAsia="pl-PL"/>
          <w14:ligatures w14:val="none"/>
        </w:rPr>
        <w:t>Tab</w:t>
      </w:r>
      <w:r w:rsidR="00D3373D" w:rsidRPr="00B03CDA">
        <w:rPr>
          <w:rFonts w:ascii="Calibri" w:eastAsia="Times New Roman" w:hAnsi="Calibri" w:cs="Calibri"/>
          <w:i/>
          <w:iCs/>
          <w:color w:val="002060"/>
          <w:kern w:val="0"/>
          <w:sz w:val="22"/>
          <w:lang w:eastAsia="pl-PL"/>
          <w14:ligatures w14:val="none"/>
        </w:rPr>
        <w:t xml:space="preserve">. 2. </w:t>
      </w:r>
      <w:r w:rsidR="00592C02" w:rsidRPr="00592C02">
        <w:rPr>
          <w:rFonts w:ascii="Calibri" w:eastAsia="Times New Roman" w:hAnsi="Calibri" w:cs="Calibri"/>
          <w:i/>
          <w:iCs/>
          <w:color w:val="002060"/>
          <w:kern w:val="0"/>
          <w:sz w:val="22"/>
          <w:lang w:eastAsia="pl-PL"/>
          <w14:ligatures w14:val="none"/>
        </w:rPr>
        <w:t>Zmiana sprzedaży poszczególnych typów pomp ciepła w II kwartale 2026 r. w porównaniu z II kwartałem 2025 r. Źródło: PORT PC</w:t>
      </w:r>
    </w:p>
    <w:p w14:paraId="1E5ECE4D" w14:textId="5E3FCEB7" w:rsidR="00D3373D" w:rsidRPr="00DA2AEE" w:rsidRDefault="00D3373D" w:rsidP="00DA2AEE">
      <w:pPr>
        <w:spacing w:after="140" w:line="240" w:lineRule="auto"/>
        <w:rPr>
          <w:rFonts w:ascii="Calibri" w:eastAsia="Times New Roman" w:hAnsi="Calibri" w:cs="Calibri"/>
          <w:i/>
          <w:iCs/>
          <w:color w:val="002060"/>
          <w:kern w:val="0"/>
          <w:sz w:val="22"/>
          <w:lang w:eastAsia="pl-PL"/>
          <w14:ligatures w14:val="none"/>
        </w:rPr>
      </w:pPr>
      <w:r w:rsidRPr="00D3373D">
        <w:rPr>
          <w:rFonts w:ascii="Calibri" w:eastAsia="Times New Roman" w:hAnsi="Calibri" w:cs="Calibri"/>
          <w:color w:val="000000"/>
          <w:kern w:val="0"/>
          <w:sz w:val="22"/>
          <w:lang w:eastAsia="pl-PL"/>
          <w14:ligatures w14:val="none"/>
        </w:rPr>
        <w:t>– </w:t>
      </w:r>
      <w:r w:rsidRPr="00D3373D">
        <w:rPr>
          <w:rFonts w:ascii="Calibri" w:eastAsia="Times New Roman" w:hAnsi="Calibri" w:cs="Calibri"/>
          <w:i/>
          <w:iCs/>
          <w:color w:val="000000"/>
          <w:kern w:val="0"/>
          <w:sz w:val="22"/>
          <w:lang w:eastAsia="pl-PL"/>
          <w14:ligatures w14:val="none"/>
        </w:rPr>
        <w:t>Wyniki pierwszego półrocza pokazują, że polski rynek pomp ciepła wraca do wzrostów. Szczególnie cieszy poprawa w głównym segmencie urządzeń do ogrzewania budynków oraz bardzo wysoka dynamika wzrostu gruntowych pomp ciepła. Nie oznacza to jednak powrotu do rekordowych poziomów z 2022 r. To początek odbudowy rynku po trudnych latach</w:t>
      </w:r>
      <w:r w:rsidRPr="00D3373D">
        <w:rPr>
          <w:rFonts w:ascii="Calibri" w:eastAsia="Times New Roman" w:hAnsi="Calibri" w:cs="Calibri"/>
          <w:color w:val="000000"/>
          <w:kern w:val="0"/>
          <w:sz w:val="22"/>
          <w:lang w:eastAsia="pl-PL"/>
          <w14:ligatures w14:val="none"/>
        </w:rPr>
        <w:t> – mówi Paweł Lachman, prezes Polskiej Organizacji Rozwoju Technologii Pomp Ciepła</w:t>
      </w:r>
      <w:r w:rsidR="00C5562E">
        <w:rPr>
          <w:rFonts w:ascii="Calibri" w:eastAsia="Times New Roman" w:hAnsi="Calibri" w:cs="Calibri"/>
          <w:color w:val="000000"/>
          <w:kern w:val="0"/>
          <w:sz w:val="22"/>
          <w:lang w:eastAsia="pl-PL"/>
          <w14:ligatures w14:val="none"/>
        </w:rPr>
        <w:t xml:space="preserve"> PORT PC</w:t>
      </w:r>
      <w:r w:rsidRPr="00D3373D">
        <w:rPr>
          <w:rFonts w:ascii="Calibri" w:eastAsia="Times New Roman" w:hAnsi="Calibri" w:cs="Calibri"/>
          <w:color w:val="000000"/>
          <w:kern w:val="0"/>
          <w:sz w:val="22"/>
          <w:lang w:eastAsia="pl-PL"/>
          <w14:ligatures w14:val="none"/>
        </w:rPr>
        <w:t>.</w:t>
      </w:r>
    </w:p>
    <w:p w14:paraId="0DB89D3C" w14:textId="61B85135" w:rsidR="00D3373D" w:rsidRDefault="00B33A00" w:rsidP="00D3373D">
      <w:pPr>
        <w:spacing w:after="100"/>
        <w:rPr>
          <w:rFonts w:ascii="Calibri" w:eastAsia="Times New Roman" w:hAnsi="Calibri" w:cs="Calibri"/>
          <w:color w:val="000000"/>
          <w:kern w:val="0"/>
          <w:sz w:val="22"/>
          <w:lang w:eastAsia="pl-PL"/>
          <w14:ligatures w14:val="none"/>
        </w:rPr>
      </w:pPr>
      <w:r w:rsidRPr="00B33A00">
        <w:rPr>
          <w:rFonts w:ascii="Calibri" w:eastAsia="Times New Roman" w:hAnsi="Calibri" w:cs="Calibri"/>
          <w:color w:val="000000"/>
          <w:kern w:val="0"/>
          <w:sz w:val="22"/>
          <w:lang w:eastAsia="pl-PL"/>
          <w14:ligatures w14:val="none"/>
        </w:rPr>
        <w:t xml:space="preserve">Prognoza PORT PC na cały 2026 r. zakłada sprzedaż około 71 tys. pomp ciepła </w:t>
      </w:r>
      <w:r>
        <w:rPr>
          <w:rFonts w:ascii="Calibri" w:eastAsia="Times New Roman" w:hAnsi="Calibri" w:cs="Calibri"/>
          <w:color w:val="000000"/>
          <w:kern w:val="0"/>
          <w:sz w:val="22"/>
          <w:lang w:eastAsia="pl-PL"/>
          <w14:ligatures w14:val="none"/>
        </w:rPr>
        <w:t xml:space="preserve">typu </w:t>
      </w:r>
      <w:r w:rsidRPr="00B33A00">
        <w:rPr>
          <w:rFonts w:ascii="Calibri" w:eastAsia="Times New Roman" w:hAnsi="Calibri" w:cs="Calibri"/>
          <w:color w:val="000000"/>
          <w:kern w:val="0"/>
          <w:sz w:val="22"/>
          <w:lang w:eastAsia="pl-PL"/>
          <w14:ligatures w14:val="none"/>
        </w:rPr>
        <w:t>powietrze-woda do ogrzewania, 9,9 tys. gruntowych pomp ciepła oraz 3,7 tys. urządzeń powietrze-woda przeznaczonych wyłącznie do przygotowania ciepłej wody. Łącznie oznaczałoby to sprzedaż około 85 tys. urządzeń w trzech segmentach objętych statystykami PORT PC. Byłby to nadal wynik znacznie niższy od rekordowego 2022 r. Prognoza wskazuje więc na wyraźne odbicie, ale nie na nowy boom rynkowy.</w:t>
      </w:r>
    </w:p>
    <w:p w14:paraId="482195E7" w14:textId="70961C8B" w:rsidR="005444FA" w:rsidRPr="00D3373D" w:rsidRDefault="00D92F6B" w:rsidP="00D3373D">
      <w:pPr>
        <w:spacing w:after="100"/>
        <w:rPr>
          <w:rFonts w:ascii="Calibri" w:eastAsia="Times New Roman" w:hAnsi="Calibri" w:cs="Calibri"/>
          <w:b/>
          <w:bCs/>
          <w:color w:val="000000"/>
          <w:kern w:val="0"/>
          <w:sz w:val="22"/>
          <w:lang w:eastAsia="pl-PL"/>
          <w14:ligatures w14:val="none"/>
        </w:rPr>
      </w:pPr>
      <w:r>
        <w:rPr>
          <w:noProof/>
        </w:rPr>
        <w:drawing>
          <wp:inline distT="0" distB="0" distL="0" distR="0" wp14:anchorId="49D206B1" wp14:editId="27B453EE">
            <wp:extent cx="5760720" cy="2075180"/>
            <wp:effectExtent l="0" t="0" r="5080" b="0"/>
            <wp:docPr id="3465344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534497" name=""/>
                    <pic:cNvPicPr/>
                  </pic:nvPicPr>
                  <pic:blipFill>
                    <a:blip r:embed="rId8"/>
                    <a:stretch>
                      <a:fillRect/>
                    </a:stretch>
                  </pic:blipFill>
                  <pic:spPr>
                    <a:xfrm>
                      <a:off x="0" y="0"/>
                      <a:ext cx="5760720" cy="2075180"/>
                    </a:xfrm>
                    <a:prstGeom prst="rect">
                      <a:avLst/>
                    </a:prstGeom>
                  </pic:spPr>
                </pic:pic>
              </a:graphicData>
            </a:graphic>
          </wp:inline>
        </w:drawing>
      </w:r>
    </w:p>
    <w:p w14:paraId="7E74BC24" w14:textId="5BA3811B" w:rsidR="00D3373D" w:rsidRPr="00B03CDA" w:rsidRDefault="00D3373D" w:rsidP="00D3373D">
      <w:pPr>
        <w:spacing w:after="100"/>
        <w:rPr>
          <w:rFonts w:ascii="Calibri" w:eastAsia="Times New Roman" w:hAnsi="Calibri" w:cs="Calibri"/>
          <w:color w:val="002060"/>
          <w:kern w:val="0"/>
          <w:sz w:val="22"/>
          <w:lang w:eastAsia="pl-PL"/>
          <w14:ligatures w14:val="none"/>
        </w:rPr>
      </w:pPr>
      <w:r w:rsidRPr="00B03CDA">
        <w:rPr>
          <w:rFonts w:ascii="Calibri" w:eastAsia="Times New Roman" w:hAnsi="Calibri" w:cs="Calibri"/>
          <w:i/>
          <w:iCs/>
          <w:color w:val="002060"/>
          <w:kern w:val="0"/>
          <w:sz w:val="22"/>
          <w:lang w:eastAsia="pl-PL"/>
          <w14:ligatures w14:val="none"/>
        </w:rPr>
        <w:t xml:space="preserve">Rys. </w:t>
      </w:r>
      <w:r w:rsidR="007E0CAD">
        <w:rPr>
          <w:rFonts w:ascii="Calibri" w:eastAsia="Times New Roman" w:hAnsi="Calibri" w:cs="Calibri"/>
          <w:i/>
          <w:iCs/>
          <w:color w:val="002060"/>
          <w:kern w:val="0"/>
          <w:sz w:val="22"/>
          <w:lang w:eastAsia="pl-PL"/>
          <w14:ligatures w14:val="none"/>
        </w:rPr>
        <w:t>1</w:t>
      </w:r>
      <w:r w:rsidRPr="00B03CDA">
        <w:rPr>
          <w:rFonts w:ascii="Calibri" w:eastAsia="Times New Roman" w:hAnsi="Calibri" w:cs="Calibri"/>
          <w:i/>
          <w:iCs/>
          <w:color w:val="002060"/>
          <w:kern w:val="0"/>
          <w:sz w:val="22"/>
          <w:lang w:eastAsia="pl-PL"/>
          <w14:ligatures w14:val="none"/>
        </w:rPr>
        <w:t>. Sprzedaż pomp ciepła w Polsce na podstawie danych sprzedażowych producentów i importerów do kanałów dystrybucji oraz instalatorów</w:t>
      </w:r>
      <w:r w:rsidR="00B03CDA" w:rsidRPr="00B03CDA">
        <w:rPr>
          <w:rFonts w:ascii="Calibri" w:eastAsia="Times New Roman" w:hAnsi="Calibri" w:cs="Calibri"/>
          <w:i/>
          <w:iCs/>
          <w:color w:val="002060"/>
          <w:kern w:val="0"/>
          <w:sz w:val="22"/>
          <w:lang w:eastAsia="pl-PL"/>
          <w14:ligatures w14:val="none"/>
        </w:rPr>
        <w:t>. Źródło: PORT PC</w:t>
      </w:r>
    </w:p>
    <w:p w14:paraId="5F62BDDE" w14:textId="77777777" w:rsidR="00D3373D" w:rsidRPr="00DA2AEE" w:rsidRDefault="00D3373D" w:rsidP="00D3373D">
      <w:pPr>
        <w:spacing w:after="100"/>
        <w:outlineLvl w:val="1"/>
        <w:rPr>
          <w:rFonts w:ascii="Calibri" w:eastAsia="Times New Roman" w:hAnsi="Calibri" w:cs="Calibri"/>
          <w:b/>
          <w:bCs/>
          <w:color w:val="000000"/>
          <w:kern w:val="0"/>
          <w:sz w:val="22"/>
          <w:lang w:eastAsia="pl-PL"/>
          <w14:ligatures w14:val="none"/>
        </w:rPr>
      </w:pPr>
      <w:r w:rsidRPr="00DA2AEE">
        <w:rPr>
          <w:rFonts w:ascii="Calibri" w:eastAsia="Times New Roman" w:hAnsi="Calibri" w:cs="Calibri"/>
          <w:b/>
          <w:bCs/>
          <w:color w:val="000000"/>
          <w:kern w:val="0"/>
          <w:sz w:val="22"/>
          <w:lang w:eastAsia="pl-PL"/>
          <w14:ligatures w14:val="none"/>
        </w:rPr>
        <w:t>Użytkownicy pomp ciepła najlepiej ocenili koszty ogrzewania</w:t>
      </w:r>
    </w:p>
    <w:p w14:paraId="527F2B46" w14:textId="77777777" w:rsidR="001D3E76" w:rsidRPr="001D3E76" w:rsidRDefault="00D3373D" w:rsidP="001D3E76">
      <w:pPr>
        <w:spacing w:after="100"/>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Ważnym kontekstem dla sytuacji rynkowej są wyniki badania Polskiego Alarmu Smogowego </w:t>
      </w:r>
      <w:r w:rsidRPr="002D0ADE">
        <w:rPr>
          <w:rFonts w:ascii="Calibri" w:eastAsia="Times New Roman" w:hAnsi="Calibri" w:cs="Calibri"/>
          <w:i/>
          <w:iCs/>
          <w:color w:val="000000"/>
          <w:kern w:val="0"/>
          <w:sz w:val="22"/>
          <w:lang w:eastAsia="pl-PL"/>
          <w14:ligatures w14:val="none"/>
        </w:rPr>
        <w:t>„Mieszkańcy budynków jednorodzinnych po mroźnej zimie”</w:t>
      </w:r>
      <w:r w:rsidRPr="00D3373D">
        <w:rPr>
          <w:rFonts w:ascii="Calibri" w:eastAsia="Times New Roman" w:hAnsi="Calibri" w:cs="Calibri"/>
          <w:color w:val="000000"/>
          <w:kern w:val="0"/>
          <w:sz w:val="22"/>
          <w:lang w:eastAsia="pl-PL"/>
          <w14:ligatures w14:val="none"/>
        </w:rPr>
        <w:t>. Pod względem kosztów ogrzewania najlepiej w tym badaniu wypadły pompy ciepła: 60 proc.</w:t>
      </w:r>
      <w:r w:rsidR="00B03CDA">
        <w:rPr>
          <w:rFonts w:ascii="Calibri" w:eastAsia="Times New Roman" w:hAnsi="Calibri" w:cs="Calibri"/>
          <w:color w:val="000000"/>
          <w:kern w:val="0"/>
          <w:sz w:val="22"/>
          <w:lang w:eastAsia="pl-PL"/>
          <w14:ligatures w14:val="none"/>
        </w:rPr>
        <w:t xml:space="preserve"> </w:t>
      </w:r>
      <w:r w:rsidRPr="00D3373D">
        <w:rPr>
          <w:rFonts w:ascii="Calibri" w:eastAsia="Times New Roman" w:hAnsi="Calibri" w:cs="Calibri"/>
          <w:color w:val="000000"/>
          <w:kern w:val="0"/>
          <w:sz w:val="22"/>
          <w:lang w:eastAsia="pl-PL"/>
          <w14:ligatures w14:val="none"/>
        </w:rPr>
        <w:t xml:space="preserve">użytkowników tych urządzeń było zadowolonych z kosztów, w tym 15 proc. bardzo zadowolonych i 45 proc. raczej zadowolonych. </w:t>
      </w:r>
      <w:r w:rsidR="001D3E76" w:rsidRPr="001D3E76">
        <w:rPr>
          <w:rFonts w:ascii="Calibri" w:eastAsia="Times New Roman" w:hAnsi="Calibri" w:cs="Calibri"/>
          <w:color w:val="000000"/>
          <w:kern w:val="0"/>
          <w:sz w:val="22"/>
          <w:lang w:eastAsia="pl-PL"/>
          <w14:ligatures w14:val="none"/>
        </w:rPr>
        <w:t>Niezadowolenie deklarowało 31 proc. badanych, a 9 proc. nie potrafiło jednoznacznie ocenić poniesionych kosztów. Pompy ciepła uzyskały najwyższy poziom zadowolenia spośród analizowanych źródeł ciepła. Wśród użytkowników kotłów gazowych 46 proc. było zadowolonych z kosztów ogrzewania, a 47 proc. wyraziło niezadowolenie.</w:t>
      </w:r>
    </w:p>
    <w:p w14:paraId="588F3969" w14:textId="11EFF8D1" w:rsidR="001D3E76" w:rsidRPr="001D3E76" w:rsidRDefault="001D3E76" w:rsidP="00393DE8">
      <w:pPr>
        <w:spacing w:after="100"/>
        <w:jc w:val="left"/>
        <w:rPr>
          <w:rFonts w:ascii="Calibri" w:eastAsia="Times New Roman" w:hAnsi="Calibri" w:cs="Calibri"/>
          <w:color w:val="000000"/>
          <w:kern w:val="0"/>
          <w:sz w:val="22"/>
          <w:lang w:eastAsia="pl-PL"/>
          <w14:ligatures w14:val="none"/>
        </w:rPr>
      </w:pPr>
      <w:r>
        <w:rPr>
          <w:rFonts w:ascii="Calibri" w:eastAsia="Times New Roman" w:hAnsi="Calibri" w:cs="Calibri"/>
          <w:color w:val="000000"/>
          <w:kern w:val="0"/>
          <w:sz w:val="22"/>
          <w:lang w:eastAsia="pl-PL"/>
          <w14:ligatures w14:val="none"/>
        </w:rPr>
        <w:t>W przypadku użytkowników</w:t>
      </w:r>
      <w:r w:rsidR="00D3373D" w:rsidRPr="00D3373D">
        <w:rPr>
          <w:rFonts w:ascii="Calibri" w:eastAsia="Times New Roman" w:hAnsi="Calibri" w:cs="Calibri"/>
          <w:color w:val="000000"/>
          <w:kern w:val="0"/>
          <w:sz w:val="22"/>
          <w:lang w:eastAsia="pl-PL"/>
          <w14:ligatures w14:val="none"/>
        </w:rPr>
        <w:t xml:space="preserve"> kotłów na </w:t>
      </w:r>
      <w:proofErr w:type="spellStart"/>
      <w:r w:rsidR="00D3373D" w:rsidRPr="00D3373D">
        <w:rPr>
          <w:rFonts w:ascii="Calibri" w:eastAsia="Times New Roman" w:hAnsi="Calibri" w:cs="Calibri"/>
          <w:color w:val="000000"/>
          <w:kern w:val="0"/>
          <w:sz w:val="22"/>
          <w:lang w:eastAsia="pl-PL"/>
          <w14:ligatures w14:val="none"/>
        </w:rPr>
        <w:t>pellet</w:t>
      </w:r>
      <w:proofErr w:type="spellEnd"/>
      <w:r w:rsidR="00D3373D" w:rsidRPr="00D3373D">
        <w:rPr>
          <w:rFonts w:ascii="Calibri" w:eastAsia="Times New Roman" w:hAnsi="Calibri" w:cs="Calibri"/>
          <w:color w:val="000000"/>
          <w:kern w:val="0"/>
          <w:sz w:val="22"/>
          <w:lang w:eastAsia="pl-PL"/>
          <w14:ligatures w14:val="none"/>
        </w:rPr>
        <w:t xml:space="preserve"> poziom zadowolenia i niezadowolenia wyniósł po 47 proc. Z kolei z kosztów ogrzewania kotłem węglowym lub na drewno zadowolenie zadeklarowało 58 proc. ich posiadaczy, a niezadowolenie 36 proc. </w:t>
      </w:r>
      <w:r w:rsidR="00393DE8">
        <w:rPr>
          <w:rFonts w:ascii="Calibri" w:eastAsia="Times New Roman" w:hAnsi="Calibri" w:cs="Calibri"/>
          <w:color w:val="000000"/>
          <w:kern w:val="0"/>
          <w:sz w:val="22"/>
          <w:lang w:eastAsia="pl-PL"/>
          <w14:ligatures w14:val="none"/>
        </w:rPr>
        <w:t xml:space="preserve"> </w:t>
      </w:r>
      <w:r w:rsidR="00C15A87" w:rsidRPr="00C15A87">
        <w:rPr>
          <w:rFonts w:ascii="Calibri" w:eastAsia="Times New Roman" w:hAnsi="Calibri" w:cs="Calibri"/>
          <w:color w:val="000000"/>
          <w:kern w:val="0"/>
          <w:sz w:val="22"/>
          <w:lang w:eastAsia="pl-PL"/>
          <w14:ligatures w14:val="none"/>
        </w:rPr>
        <w:t xml:space="preserve">Wynik badania PAS jest zbieżny z wynikami badania użytkowników pomp ciepła przeprowadzonego przez SW </w:t>
      </w:r>
      <w:proofErr w:type="spellStart"/>
      <w:r w:rsidR="00C15A87" w:rsidRPr="00C15A87">
        <w:rPr>
          <w:rFonts w:ascii="Calibri" w:eastAsia="Times New Roman" w:hAnsi="Calibri" w:cs="Calibri"/>
          <w:color w:val="000000"/>
          <w:kern w:val="0"/>
          <w:sz w:val="22"/>
          <w:lang w:eastAsia="pl-PL"/>
          <w14:ligatures w14:val="none"/>
        </w:rPr>
        <w:t>Research</w:t>
      </w:r>
      <w:proofErr w:type="spellEnd"/>
      <w:r w:rsidR="00C15A87" w:rsidRPr="00C15A87">
        <w:rPr>
          <w:rFonts w:ascii="Calibri" w:eastAsia="Times New Roman" w:hAnsi="Calibri" w:cs="Calibri"/>
          <w:color w:val="000000"/>
          <w:kern w:val="0"/>
          <w:sz w:val="22"/>
          <w:lang w:eastAsia="pl-PL"/>
          <w14:ligatures w14:val="none"/>
        </w:rPr>
        <w:t xml:space="preserve">/Public Management w sierpniu 2025 r. W badaniu tym 62 proc. respondentów deklarowało zadowolenie z kosztów ogrzewania </w:t>
      </w:r>
      <w:r w:rsidR="00C15A87" w:rsidRPr="00C15A87">
        <w:rPr>
          <w:rFonts w:ascii="Calibri" w:eastAsia="Times New Roman" w:hAnsi="Calibri" w:cs="Calibri"/>
          <w:color w:val="000000"/>
          <w:kern w:val="0"/>
          <w:sz w:val="22"/>
          <w:lang w:eastAsia="pl-PL"/>
          <w14:ligatures w14:val="none"/>
        </w:rPr>
        <w:lastRenderedPageBreak/>
        <w:t>pompą ciepła. Ze względu na różnice metodologiczne wyników obu badań nie należy porównywać wprost, jednak oba wskazują na podobny, około 60-procentowy poziom zadowolenia.</w:t>
      </w:r>
    </w:p>
    <w:p w14:paraId="022F7536" w14:textId="433D1CF2" w:rsidR="001D3E76" w:rsidRPr="001D3E76" w:rsidRDefault="001D3E76" w:rsidP="001D3E76">
      <w:pPr>
        <w:spacing w:after="100"/>
        <w:rPr>
          <w:rFonts w:ascii="Calibri" w:eastAsia="Times New Roman" w:hAnsi="Calibri" w:cs="Calibri"/>
          <w:color w:val="000000"/>
          <w:kern w:val="0"/>
          <w:sz w:val="22"/>
          <w:lang w:eastAsia="pl-PL"/>
          <w14:ligatures w14:val="none"/>
        </w:rPr>
      </w:pPr>
      <w:r w:rsidRPr="001D3E76">
        <w:rPr>
          <w:rFonts w:ascii="Calibri" w:eastAsia="Times New Roman" w:hAnsi="Calibri" w:cs="Calibri"/>
          <w:color w:val="000000"/>
          <w:kern w:val="0"/>
          <w:sz w:val="22"/>
          <w:lang w:eastAsia="pl-PL"/>
          <w14:ligatures w14:val="none"/>
        </w:rPr>
        <w:t xml:space="preserve">– </w:t>
      </w:r>
      <w:r w:rsidR="00007FB2" w:rsidRPr="00007FB2">
        <w:rPr>
          <w:rFonts w:ascii="Calibri" w:eastAsia="Times New Roman" w:hAnsi="Calibri" w:cs="Calibri"/>
          <w:i/>
          <w:iCs/>
          <w:color w:val="000000"/>
          <w:kern w:val="0"/>
          <w:sz w:val="22"/>
          <w:lang w:eastAsia="pl-PL"/>
          <w14:ligatures w14:val="none"/>
        </w:rPr>
        <w:t>Badanie przeprowadzone po mroźnej zimie 2025/2026 pokazuje obraz wyraźnie inny od tego, który często dominuje w mediach społecznościowych i części publikacji prasowych. Nie potwierdza narracji o powszechnym rozczarowaniu pompami ciepła</w:t>
      </w:r>
      <w:r w:rsidR="00007FB2">
        <w:rPr>
          <w:rFonts w:ascii="Calibri" w:eastAsia="Times New Roman" w:hAnsi="Calibri" w:cs="Calibri"/>
          <w:i/>
          <w:iCs/>
          <w:color w:val="000000"/>
          <w:kern w:val="0"/>
          <w:sz w:val="22"/>
          <w:lang w:eastAsia="pl-PL"/>
          <w14:ligatures w14:val="none"/>
        </w:rPr>
        <w:t xml:space="preserve">. </w:t>
      </w:r>
      <w:r w:rsidRPr="001D3E76">
        <w:rPr>
          <w:rFonts w:ascii="Calibri" w:eastAsia="Times New Roman" w:hAnsi="Calibri" w:cs="Calibri"/>
          <w:i/>
          <w:iCs/>
          <w:color w:val="000000"/>
          <w:kern w:val="0"/>
          <w:sz w:val="22"/>
          <w:lang w:eastAsia="pl-PL"/>
          <w14:ligatures w14:val="none"/>
        </w:rPr>
        <w:t>Urządzenia te uzyskały najwyższy poziom zadowolenia i najniższy poziom niezadowolenia z kosztów ogrzewania spośród analizowanych źródeł ciepła</w:t>
      </w:r>
      <w:r w:rsidR="00C15A87">
        <w:rPr>
          <w:rFonts w:ascii="Calibri" w:eastAsia="Times New Roman" w:hAnsi="Calibri" w:cs="Calibri"/>
          <w:i/>
          <w:iCs/>
          <w:color w:val="000000"/>
          <w:kern w:val="0"/>
          <w:sz w:val="22"/>
          <w:lang w:eastAsia="pl-PL"/>
          <w14:ligatures w14:val="none"/>
        </w:rPr>
        <w:t xml:space="preserve"> </w:t>
      </w:r>
      <w:r w:rsidRPr="001D3E76">
        <w:rPr>
          <w:rFonts w:ascii="Calibri" w:eastAsia="Times New Roman" w:hAnsi="Calibri" w:cs="Calibri"/>
          <w:color w:val="000000"/>
          <w:kern w:val="0"/>
          <w:sz w:val="22"/>
          <w:lang w:eastAsia="pl-PL"/>
          <w14:ligatures w14:val="none"/>
        </w:rPr>
        <w:t>– podkreśla Paweł Lachman.</w:t>
      </w:r>
    </w:p>
    <w:p w14:paraId="1F14A8AD" w14:textId="461D9E27" w:rsidR="00D3373D" w:rsidRPr="00D3373D" w:rsidRDefault="00C15A87" w:rsidP="00D3373D">
      <w:pPr>
        <w:spacing w:after="100"/>
        <w:rPr>
          <w:rFonts w:ascii="Calibri" w:eastAsia="Times New Roman" w:hAnsi="Calibri" w:cs="Calibri"/>
          <w:color w:val="000000"/>
          <w:kern w:val="0"/>
          <w:sz w:val="22"/>
          <w:lang w:eastAsia="pl-PL"/>
          <w14:ligatures w14:val="none"/>
        </w:rPr>
      </w:pPr>
      <w:r>
        <w:rPr>
          <w:rFonts w:ascii="Calibri" w:eastAsia="Times New Roman" w:hAnsi="Calibri" w:cs="Calibri"/>
          <w:color w:val="000000"/>
          <w:kern w:val="0"/>
          <w:sz w:val="22"/>
          <w:lang w:eastAsia="pl-PL"/>
          <w14:ligatures w14:val="none"/>
        </w:rPr>
        <w:t>J</w:t>
      </w:r>
      <w:r w:rsidRPr="00C15A87">
        <w:rPr>
          <w:rFonts w:ascii="Calibri" w:eastAsia="Times New Roman" w:hAnsi="Calibri" w:cs="Calibri"/>
          <w:color w:val="000000"/>
          <w:kern w:val="0"/>
          <w:sz w:val="22"/>
          <w:lang w:eastAsia="pl-PL"/>
          <w14:ligatures w14:val="none"/>
        </w:rPr>
        <w:t>ednocześnie 31 proc. użytkowników pomp ciepła było niezadowolonych z kosztów ogrzewania. Choć był to najniższy odsetek spośród analizowanych źródeł ciepła, wynik pozostaje ważnym sygnałem. Pokazuje, że obok prostowania uproszczonych narracji potrzebne są dalsze działania zwiększające kompetencje branży i świadomość konsumentów. Istotną rolę powinny w tym odgrywać również instytucje publiczne, zachęcając m.in. do korzystania z taryf strefowych i elastycznej pracy pomp ciepła – z korzyścią dla użytkowników i systemu elektroenergetycznego</w:t>
      </w:r>
      <w:r w:rsidR="00D3373D" w:rsidRPr="00D3373D">
        <w:rPr>
          <w:rFonts w:ascii="Calibri" w:eastAsia="Times New Roman" w:hAnsi="Calibri" w:cs="Calibri"/>
          <w:color w:val="000000"/>
          <w:kern w:val="0"/>
          <w:sz w:val="22"/>
          <w:lang w:eastAsia="pl-PL"/>
          <w14:ligatures w14:val="none"/>
        </w:rPr>
        <w:t>.</w:t>
      </w:r>
    </w:p>
    <w:p w14:paraId="7697B44F" w14:textId="22B23D28" w:rsidR="00D3373D" w:rsidRPr="00DA2AEE" w:rsidRDefault="00D3373D" w:rsidP="00D3373D">
      <w:pPr>
        <w:spacing w:after="100"/>
        <w:outlineLvl w:val="1"/>
        <w:rPr>
          <w:rFonts w:ascii="Calibri" w:eastAsia="Times New Roman" w:hAnsi="Calibri" w:cs="Calibri"/>
          <w:b/>
          <w:bCs/>
          <w:color w:val="000000"/>
          <w:kern w:val="0"/>
          <w:sz w:val="22"/>
          <w:lang w:eastAsia="pl-PL"/>
          <w14:ligatures w14:val="none"/>
        </w:rPr>
      </w:pPr>
      <w:r w:rsidRPr="00DA2AEE">
        <w:rPr>
          <w:rFonts w:ascii="Calibri" w:eastAsia="Times New Roman" w:hAnsi="Calibri" w:cs="Calibri"/>
          <w:b/>
          <w:bCs/>
          <w:color w:val="000000"/>
          <w:kern w:val="0"/>
          <w:sz w:val="22"/>
          <w:lang w:eastAsia="pl-PL"/>
          <w14:ligatures w14:val="none"/>
        </w:rPr>
        <w:t xml:space="preserve">Elektryfikacja to także niższe koszty </w:t>
      </w:r>
      <w:r w:rsidR="00E0778F">
        <w:rPr>
          <w:rFonts w:ascii="Calibri" w:eastAsia="Times New Roman" w:hAnsi="Calibri" w:cs="Calibri"/>
          <w:b/>
          <w:bCs/>
          <w:color w:val="000000"/>
          <w:kern w:val="0"/>
          <w:sz w:val="22"/>
          <w:lang w:eastAsia="pl-PL"/>
          <w14:ligatures w14:val="none"/>
        </w:rPr>
        <w:t>ogrzewania</w:t>
      </w:r>
    </w:p>
    <w:p w14:paraId="34ED3522" w14:textId="7622AA5E" w:rsidR="00D3373D" w:rsidRPr="00D3373D" w:rsidRDefault="00D3373D" w:rsidP="00D3373D">
      <w:pPr>
        <w:spacing w:after="100"/>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Odbudowa rynku pomp ciepła powinna być oceniana w szerszym kontekście elektryfikacji polskiej gospodarki. Pompy ciepła, samochody elektryczne, magazyny energii i inteligentne zarządzanie popytem są podstawowymi technologiami efektywnej elektryfikacji, ograniczającej zużycie paliw kopalnych oraz poprawiającej bezpieczeństwo energetyczne. Co równie ważne: technologie te pozwalają wyraźnie obniżyć koszty eksploatacji budynków czy transportu, chroniąc jednocześnie przed szokami cenowymi i zapewniając przewidywalność </w:t>
      </w:r>
      <w:r w:rsidR="00F472FA">
        <w:rPr>
          <w:rFonts w:ascii="Calibri" w:eastAsia="Times New Roman" w:hAnsi="Calibri" w:cs="Calibri"/>
          <w:color w:val="000000"/>
          <w:kern w:val="0"/>
          <w:sz w:val="22"/>
          <w:lang w:eastAsia="pl-PL"/>
          <w14:ligatures w14:val="none"/>
        </w:rPr>
        <w:t>rachunków</w:t>
      </w:r>
      <w:r w:rsidRPr="00D3373D">
        <w:rPr>
          <w:rFonts w:ascii="Calibri" w:eastAsia="Times New Roman" w:hAnsi="Calibri" w:cs="Calibri"/>
          <w:color w:val="000000"/>
          <w:kern w:val="0"/>
          <w:sz w:val="22"/>
          <w:lang w:eastAsia="pl-PL"/>
          <w14:ligatures w14:val="none"/>
        </w:rPr>
        <w:t>.</w:t>
      </w:r>
    </w:p>
    <w:p w14:paraId="0B1C2BB4" w14:textId="494A837C" w:rsidR="00D3373D" w:rsidRPr="00D3373D" w:rsidRDefault="00D3373D" w:rsidP="00D3373D">
      <w:pPr>
        <w:spacing w:after="100"/>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Tymczasem, według </w:t>
      </w:r>
      <w:proofErr w:type="spellStart"/>
      <w:r w:rsidR="00E0778F">
        <w:rPr>
          <w:rFonts w:ascii="Calibri" w:eastAsia="Times New Roman" w:hAnsi="Calibri" w:cs="Calibri"/>
          <w:color w:val="000000"/>
          <w:kern w:val="0"/>
          <w:sz w:val="22"/>
          <w:lang w:eastAsia="pl-PL"/>
          <w14:ligatures w14:val="none"/>
        </w:rPr>
        <w:t>think</w:t>
      </w:r>
      <w:proofErr w:type="spellEnd"/>
      <w:r w:rsidR="00E0778F">
        <w:rPr>
          <w:rFonts w:ascii="Calibri" w:eastAsia="Times New Roman" w:hAnsi="Calibri" w:cs="Calibri"/>
          <w:color w:val="000000"/>
          <w:kern w:val="0"/>
          <w:sz w:val="22"/>
          <w:lang w:eastAsia="pl-PL"/>
          <w14:ligatures w14:val="none"/>
        </w:rPr>
        <w:t xml:space="preserve"> tanku </w:t>
      </w:r>
      <w:r w:rsidRPr="00D3373D">
        <w:rPr>
          <w:rFonts w:ascii="Calibri" w:eastAsia="Times New Roman" w:hAnsi="Calibri" w:cs="Calibri"/>
          <w:color w:val="000000"/>
          <w:kern w:val="0"/>
          <w:sz w:val="22"/>
          <w:lang w:eastAsia="pl-PL"/>
          <w14:ligatures w14:val="none"/>
        </w:rPr>
        <w:t>Forum Energii, energia elektryczna pokrywa</w:t>
      </w:r>
      <w:r w:rsidR="00E0778F">
        <w:rPr>
          <w:rFonts w:ascii="Calibri" w:eastAsia="Times New Roman" w:hAnsi="Calibri" w:cs="Calibri"/>
          <w:color w:val="000000"/>
          <w:kern w:val="0"/>
          <w:sz w:val="22"/>
          <w:lang w:eastAsia="pl-PL"/>
          <w14:ligatures w14:val="none"/>
        </w:rPr>
        <w:t>ła</w:t>
      </w:r>
      <w:r w:rsidRPr="00D3373D">
        <w:rPr>
          <w:rFonts w:ascii="Calibri" w:eastAsia="Times New Roman" w:hAnsi="Calibri" w:cs="Calibri"/>
          <w:color w:val="000000"/>
          <w:kern w:val="0"/>
          <w:sz w:val="22"/>
          <w:lang w:eastAsia="pl-PL"/>
          <w14:ligatures w14:val="none"/>
        </w:rPr>
        <w:t xml:space="preserve"> </w:t>
      </w:r>
      <w:r w:rsidR="00E0778F">
        <w:rPr>
          <w:rFonts w:ascii="Calibri" w:eastAsia="Times New Roman" w:hAnsi="Calibri" w:cs="Calibri"/>
          <w:color w:val="000000"/>
          <w:kern w:val="0"/>
          <w:sz w:val="22"/>
          <w:lang w:eastAsia="pl-PL"/>
          <w14:ligatures w14:val="none"/>
        </w:rPr>
        <w:t>w 2024 r. tylko</w:t>
      </w:r>
      <w:r w:rsidRPr="00D3373D">
        <w:rPr>
          <w:rFonts w:ascii="Calibri" w:eastAsia="Times New Roman" w:hAnsi="Calibri" w:cs="Calibri"/>
          <w:color w:val="000000"/>
          <w:kern w:val="0"/>
          <w:sz w:val="22"/>
          <w:lang w:eastAsia="pl-PL"/>
          <w14:ligatures w14:val="none"/>
        </w:rPr>
        <w:t xml:space="preserve"> 17,4</w:t>
      </w:r>
      <w:r w:rsidR="00393DE8">
        <w:rPr>
          <w:rFonts w:ascii="Calibri" w:eastAsia="Times New Roman" w:hAnsi="Calibri" w:cs="Calibri"/>
          <w:color w:val="000000"/>
          <w:kern w:val="0"/>
          <w:sz w:val="22"/>
          <w:lang w:eastAsia="pl-PL"/>
          <w14:ligatures w14:val="none"/>
        </w:rPr>
        <w:t xml:space="preserve"> proc.</w:t>
      </w:r>
      <w:r w:rsidRPr="00D3373D">
        <w:rPr>
          <w:rFonts w:ascii="Calibri" w:eastAsia="Times New Roman" w:hAnsi="Calibri" w:cs="Calibri"/>
          <w:color w:val="000000"/>
          <w:kern w:val="0"/>
          <w:sz w:val="22"/>
          <w:lang w:eastAsia="pl-PL"/>
          <w14:ligatures w14:val="none"/>
        </w:rPr>
        <w:t xml:space="preserve"> końcowego zużycia energii w Polsce, wobec średniej unijnej wynoszącej 23,4</w:t>
      </w:r>
      <w:r w:rsidR="00393DE8">
        <w:rPr>
          <w:rFonts w:ascii="Calibri" w:eastAsia="Times New Roman" w:hAnsi="Calibri" w:cs="Calibri"/>
          <w:color w:val="000000"/>
          <w:kern w:val="0"/>
          <w:sz w:val="22"/>
          <w:lang w:eastAsia="pl-PL"/>
          <w14:ligatures w14:val="none"/>
        </w:rPr>
        <w:t xml:space="preserve"> proc</w:t>
      </w:r>
      <w:r w:rsidRPr="00D3373D">
        <w:rPr>
          <w:rFonts w:ascii="Calibri" w:eastAsia="Times New Roman" w:hAnsi="Calibri" w:cs="Calibri"/>
          <w:color w:val="000000"/>
          <w:kern w:val="0"/>
          <w:sz w:val="22"/>
          <w:lang w:eastAsia="pl-PL"/>
          <w14:ligatures w14:val="none"/>
        </w:rPr>
        <w:t xml:space="preserve">. Polska należy tym samym do </w:t>
      </w:r>
      <w:r w:rsidR="00F309E0">
        <w:rPr>
          <w:rFonts w:ascii="Calibri" w:eastAsia="Times New Roman" w:hAnsi="Calibri" w:cs="Calibri"/>
          <w:color w:val="000000"/>
          <w:kern w:val="0"/>
          <w:sz w:val="22"/>
          <w:lang w:eastAsia="pl-PL"/>
          <w14:ligatures w14:val="none"/>
        </w:rPr>
        <w:t xml:space="preserve">czterech </w:t>
      </w:r>
      <w:r w:rsidRPr="00D3373D">
        <w:rPr>
          <w:rFonts w:ascii="Calibri" w:eastAsia="Times New Roman" w:hAnsi="Calibri" w:cs="Calibri"/>
          <w:color w:val="000000"/>
          <w:kern w:val="0"/>
          <w:sz w:val="22"/>
          <w:lang w:eastAsia="pl-PL"/>
          <w14:ligatures w14:val="none"/>
        </w:rPr>
        <w:t xml:space="preserve">najmniej zelektryfikowanych gospodarek Unii Europejskiej. Sytuacji nie poprawia nowy Krajowy Plan w dziedzinie Energii i Klimatu, który w ambitnym scenariuszu zakłada wzrost poziomu elektryfikacji zaledwie do 26,3 proc. w 2040 r. </w:t>
      </w:r>
      <w:r w:rsidR="00C15A87" w:rsidRPr="00C15A87">
        <w:rPr>
          <w:rFonts w:ascii="Calibri" w:eastAsia="Times New Roman" w:hAnsi="Calibri" w:cs="Calibri"/>
          <w:color w:val="000000"/>
          <w:kern w:val="0"/>
          <w:sz w:val="22"/>
          <w:lang w:eastAsia="pl-PL"/>
          <w14:ligatures w14:val="none"/>
        </w:rPr>
        <w:t>To o blisko 20 punktów procentowych mniej niż orientacyjny poziom elektryfikacji wskazywany dla całej Unii Europejskiej na 2040 r. i zdecydowanie za mało wobec potrzeb polskiej gospodarki</w:t>
      </w:r>
      <w:r w:rsidRPr="00D3373D">
        <w:rPr>
          <w:rFonts w:ascii="Calibri" w:eastAsia="Times New Roman" w:hAnsi="Calibri" w:cs="Calibri"/>
          <w:color w:val="000000"/>
          <w:kern w:val="0"/>
          <w:sz w:val="22"/>
          <w:lang w:eastAsia="pl-PL"/>
          <w14:ligatures w14:val="none"/>
        </w:rPr>
        <w:t xml:space="preserve">. </w:t>
      </w:r>
    </w:p>
    <w:p w14:paraId="52C53D68" w14:textId="77777777" w:rsidR="00D3373D" w:rsidRPr="00D3373D" w:rsidRDefault="00D3373D" w:rsidP="00D3373D">
      <w:pPr>
        <w:spacing w:after="100"/>
        <w:outlineLvl w:val="1"/>
        <w:rPr>
          <w:rFonts w:ascii="Calibri" w:eastAsia="Times New Roman" w:hAnsi="Calibri" w:cs="Calibri"/>
          <w:b/>
          <w:bCs/>
          <w:color w:val="000000"/>
          <w:kern w:val="0"/>
          <w:sz w:val="22"/>
          <w:lang w:eastAsia="pl-PL"/>
          <w14:ligatures w14:val="none"/>
        </w:rPr>
      </w:pPr>
      <w:r w:rsidRPr="00D3373D">
        <w:rPr>
          <w:rFonts w:ascii="Calibri" w:eastAsia="Times New Roman" w:hAnsi="Calibri" w:cs="Calibri"/>
          <w:b/>
          <w:bCs/>
          <w:color w:val="000000"/>
          <w:kern w:val="0"/>
          <w:sz w:val="22"/>
          <w:lang w:eastAsia="pl-PL"/>
          <w14:ligatures w14:val="none"/>
        </w:rPr>
        <w:t>Potrzebna spójna strategia, nie tylko dotacje</w:t>
      </w:r>
    </w:p>
    <w:p w14:paraId="73D18E47" w14:textId="5824077B" w:rsidR="00D3373D" w:rsidRPr="00D3373D" w:rsidRDefault="00D3373D" w:rsidP="00D3373D">
      <w:pPr>
        <w:spacing w:after="100"/>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Zdaniem PORT PC trwała odbudowa polskiego rynku pomp ciepła wymaga przede wszystkim poprawy relacji cen energii elektrycznej do paliw kopalnych, ale też stabilnych i przewidywalnych programów wsparcia oraz konsekwentnego podnoszenia jakości instalacji i świadomości konsumentów. </w:t>
      </w:r>
      <w:r w:rsidR="00964CDC" w:rsidRPr="00964CDC">
        <w:rPr>
          <w:rFonts w:ascii="Calibri" w:eastAsia="Times New Roman" w:hAnsi="Calibri" w:cs="Calibri"/>
          <w:color w:val="000000"/>
          <w:kern w:val="0"/>
          <w:sz w:val="22"/>
          <w:lang w:eastAsia="pl-PL"/>
          <w14:ligatures w14:val="none"/>
        </w:rPr>
        <w:t>Obniżenie stawki VAT na energię elektryczną zużywaną przez pompy ciepła, zwłaszcza przy rozliczaniu jej w taryfach strefowych lub dynamicznych, byłoby jednym z najskuteczniejszych sposobów</w:t>
      </w:r>
      <w:r w:rsidR="00D05387" w:rsidRPr="00D05387">
        <w:rPr>
          <w:rFonts w:ascii="Calibri" w:eastAsia="Times New Roman" w:hAnsi="Calibri" w:cs="Calibri"/>
          <w:color w:val="000000"/>
          <w:kern w:val="0"/>
          <w:sz w:val="22"/>
          <w:lang w:eastAsia="pl-PL"/>
          <w14:ligatures w14:val="none"/>
        </w:rPr>
        <w:t xml:space="preserve"> poprawy konkurencyjności tej technologii i przyspieszenia elektryfikacji ogrzewania. Stanowiłoby bezpośrednie wsparcie dla obecnych i przyszłych użytkowników pomp ciepła, a zarazem sprzyjałoby bardziej elastycznemu korzystaniu z sieci elektroenergetycznej. Warto przy tym zaznaczyć, że cena energii elektrycznej uwzględnia koszt uprawnień do emisji CO₂ ponoszony przez jej wytwórców, podczas gdy bezpośrednie spalanie paliw w budynkach nie jest obecnie objęte analogicznym kosztem emisji.</w:t>
      </w:r>
    </w:p>
    <w:p w14:paraId="494C2F48" w14:textId="77777777" w:rsidR="00D3373D" w:rsidRPr="00D3373D" w:rsidRDefault="00D3373D" w:rsidP="00D3373D">
      <w:pPr>
        <w:spacing w:after="100"/>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xml:space="preserve">Polityka państwa powinna łączyć rozwój pomp ciepła z </w:t>
      </w:r>
      <w:proofErr w:type="spellStart"/>
      <w:r w:rsidRPr="00D3373D">
        <w:rPr>
          <w:rFonts w:ascii="Calibri" w:eastAsia="Times New Roman" w:hAnsi="Calibri" w:cs="Calibri"/>
          <w:color w:val="000000"/>
          <w:kern w:val="0"/>
          <w:sz w:val="22"/>
          <w:lang w:eastAsia="pl-PL"/>
          <w14:ligatures w14:val="none"/>
        </w:rPr>
        <w:t>fotowoltaiką</w:t>
      </w:r>
      <w:proofErr w:type="spellEnd"/>
      <w:r w:rsidRPr="00D3373D">
        <w:rPr>
          <w:rFonts w:ascii="Calibri" w:eastAsia="Times New Roman" w:hAnsi="Calibri" w:cs="Calibri"/>
          <w:color w:val="000000"/>
          <w:kern w:val="0"/>
          <w:sz w:val="22"/>
          <w:lang w:eastAsia="pl-PL"/>
          <w14:ligatures w14:val="none"/>
        </w:rPr>
        <w:t xml:space="preserve">, magazynami energii, </w:t>
      </w:r>
      <w:proofErr w:type="spellStart"/>
      <w:r w:rsidRPr="00D3373D">
        <w:rPr>
          <w:rFonts w:ascii="Calibri" w:eastAsia="Times New Roman" w:hAnsi="Calibri" w:cs="Calibri"/>
          <w:color w:val="000000"/>
          <w:kern w:val="0"/>
          <w:sz w:val="22"/>
          <w:lang w:eastAsia="pl-PL"/>
          <w14:ligatures w14:val="none"/>
        </w:rPr>
        <w:t>elektromobilnością</w:t>
      </w:r>
      <w:proofErr w:type="spellEnd"/>
      <w:r w:rsidRPr="00D3373D">
        <w:rPr>
          <w:rFonts w:ascii="Calibri" w:eastAsia="Times New Roman" w:hAnsi="Calibri" w:cs="Calibri"/>
          <w:color w:val="000000"/>
          <w:kern w:val="0"/>
          <w:sz w:val="22"/>
          <w:lang w:eastAsia="pl-PL"/>
          <w14:ligatures w14:val="none"/>
        </w:rPr>
        <w:t>, elastycznymi taryfami i inteligentnym sterowaniem. Potrzebne są także sektorowe cele elektryfikacji oraz lepsza koordynacja działań administracji odpowiedzialnej za energię, budynki, transport, przemysł i politykę społeczną.</w:t>
      </w:r>
    </w:p>
    <w:p w14:paraId="4532F6AA" w14:textId="4EC2F8C9" w:rsidR="00285FC5" w:rsidRDefault="00D3373D" w:rsidP="00D3373D">
      <w:pPr>
        <w:spacing w:after="100"/>
        <w:rPr>
          <w:rFonts w:ascii="Calibri" w:eastAsia="Times New Roman" w:hAnsi="Calibri" w:cs="Calibri"/>
          <w:color w:val="000000"/>
          <w:kern w:val="0"/>
          <w:sz w:val="22"/>
          <w:lang w:eastAsia="pl-PL"/>
          <w14:ligatures w14:val="none"/>
        </w:rPr>
      </w:pPr>
      <w:r w:rsidRPr="00D3373D">
        <w:rPr>
          <w:rFonts w:ascii="Calibri" w:eastAsia="Times New Roman" w:hAnsi="Calibri" w:cs="Calibri"/>
          <w:color w:val="000000"/>
          <w:kern w:val="0"/>
          <w:sz w:val="22"/>
          <w:lang w:eastAsia="pl-PL"/>
          <w14:ligatures w14:val="none"/>
        </w:rPr>
        <w:t>– </w:t>
      </w:r>
      <w:r w:rsidRPr="00D3373D">
        <w:rPr>
          <w:rFonts w:ascii="Calibri" w:eastAsia="Times New Roman" w:hAnsi="Calibri" w:cs="Calibri"/>
          <w:i/>
          <w:iCs/>
          <w:color w:val="000000"/>
          <w:kern w:val="0"/>
          <w:sz w:val="22"/>
          <w:lang w:eastAsia="pl-PL"/>
          <w14:ligatures w14:val="none"/>
        </w:rPr>
        <w:t>Rynek pomp ciepła wraca na ścieżkę wzrostu, ale jego odbudowa nadal jest krucha. Same dotacje do pojedynczych urządzeń nie wystarczą. Potrzebujemy przewidywalnych warunków inwestowania, konkurencyjnych kosztów energii elektrycznej, wysokiej jakości instalacji oraz spójnej strategii efektywnej i elastycznej elektryfikacji polski</w:t>
      </w:r>
      <w:r w:rsidR="007E0CAD">
        <w:rPr>
          <w:rFonts w:ascii="Calibri" w:eastAsia="Times New Roman" w:hAnsi="Calibri" w:cs="Calibri"/>
          <w:i/>
          <w:iCs/>
          <w:color w:val="000000"/>
          <w:kern w:val="0"/>
          <w:sz w:val="22"/>
          <w:lang w:eastAsia="pl-PL"/>
          <w14:ligatures w14:val="none"/>
        </w:rPr>
        <w:t xml:space="preserve">ch budynków </w:t>
      </w:r>
      <w:r w:rsidRPr="00D3373D">
        <w:rPr>
          <w:rFonts w:ascii="Calibri" w:eastAsia="Times New Roman" w:hAnsi="Calibri" w:cs="Calibri"/>
          <w:color w:val="000000"/>
          <w:kern w:val="0"/>
          <w:sz w:val="22"/>
          <w:lang w:eastAsia="pl-PL"/>
          <w14:ligatures w14:val="none"/>
        </w:rPr>
        <w:t xml:space="preserve">– podsumowuje Paweł Lachman, prezes </w:t>
      </w:r>
      <w:r w:rsidR="00D92F6B">
        <w:rPr>
          <w:rFonts w:ascii="Calibri" w:eastAsia="Times New Roman" w:hAnsi="Calibri" w:cs="Calibri"/>
          <w:color w:val="000000"/>
          <w:kern w:val="0"/>
          <w:sz w:val="22"/>
          <w:lang w:eastAsia="pl-PL"/>
          <w14:ligatures w14:val="none"/>
        </w:rPr>
        <w:t xml:space="preserve">zarządu </w:t>
      </w:r>
      <w:r w:rsidRPr="00D3373D">
        <w:rPr>
          <w:rFonts w:ascii="Calibri" w:eastAsia="Times New Roman" w:hAnsi="Calibri" w:cs="Calibri"/>
          <w:color w:val="000000"/>
          <w:kern w:val="0"/>
          <w:sz w:val="22"/>
          <w:lang w:eastAsia="pl-PL"/>
          <w14:ligatures w14:val="none"/>
        </w:rPr>
        <w:t>PORT PC.</w:t>
      </w:r>
    </w:p>
    <w:p w14:paraId="297E8AC6" w14:textId="6FB29B19" w:rsidR="00C2740E" w:rsidRPr="00393DE8" w:rsidRDefault="00D05387" w:rsidP="00393DE8">
      <w:pPr>
        <w:spacing w:after="100"/>
        <w:rPr>
          <w:rFonts w:ascii="Calibri" w:eastAsia="Times New Roman" w:hAnsi="Calibri" w:cs="Calibri"/>
          <w:color w:val="000000"/>
          <w:kern w:val="0"/>
          <w:sz w:val="22"/>
          <w:lang w:eastAsia="pl-PL"/>
          <w14:ligatures w14:val="none"/>
        </w:rPr>
      </w:pPr>
      <w:r w:rsidRPr="00D05387">
        <w:rPr>
          <w:rFonts w:ascii="Calibri" w:eastAsia="Times New Roman" w:hAnsi="Calibri" w:cs="Calibri"/>
          <w:i/>
          <w:iCs/>
          <w:color w:val="000000"/>
          <w:kern w:val="0"/>
          <w:sz w:val="22"/>
          <w:lang w:eastAsia="pl-PL"/>
          <w14:ligatures w14:val="none"/>
        </w:rPr>
        <w:lastRenderedPageBreak/>
        <w:t xml:space="preserve">Źródła: PORT PC; Polski Alarm Smogowy, „Mieszkańcy budynków jednorodzinnych po mroźnej zimie”, maj 2026; SW </w:t>
      </w:r>
      <w:proofErr w:type="spellStart"/>
      <w:r w:rsidRPr="00D05387">
        <w:rPr>
          <w:rFonts w:ascii="Calibri" w:eastAsia="Times New Roman" w:hAnsi="Calibri" w:cs="Calibri"/>
          <w:i/>
          <w:iCs/>
          <w:color w:val="000000"/>
          <w:kern w:val="0"/>
          <w:sz w:val="22"/>
          <w:lang w:eastAsia="pl-PL"/>
          <w14:ligatures w14:val="none"/>
        </w:rPr>
        <w:t>Research</w:t>
      </w:r>
      <w:proofErr w:type="spellEnd"/>
      <w:r w:rsidRPr="00D05387">
        <w:rPr>
          <w:rFonts w:ascii="Calibri" w:eastAsia="Times New Roman" w:hAnsi="Calibri" w:cs="Calibri"/>
          <w:i/>
          <w:iCs/>
          <w:color w:val="000000"/>
          <w:kern w:val="0"/>
          <w:sz w:val="22"/>
          <w:lang w:eastAsia="pl-PL"/>
          <w14:ligatures w14:val="none"/>
        </w:rPr>
        <w:t>/Public Management, badanie użytkowników pomp ciepła, sierpień 2025 r.; Forum Energii; Krajowy Plan w dziedzinie Energii i Klimatu; Komisja Europejska – plan działań na rzecz elektryfikacji</w:t>
      </w:r>
      <w:r w:rsidR="00276890" w:rsidRPr="00393DE8">
        <w:rPr>
          <w:rFonts w:ascii="Calibri" w:hAnsi="Calibri" w:cs="Calibri"/>
          <w:i/>
          <w:iCs/>
          <w:color w:val="000000" w:themeColor="text1"/>
          <w:sz w:val="22"/>
        </w:rPr>
        <w:t>.</w:t>
      </w:r>
      <w:r w:rsidR="00964CDC">
        <w:rPr>
          <w:rFonts w:ascii="Calibri" w:hAnsi="Calibri" w:cs="Calibri"/>
          <w:i/>
          <w:iCs/>
          <w:color w:val="000000" w:themeColor="text1"/>
          <w:sz w:val="22"/>
        </w:rPr>
        <w:br/>
      </w:r>
    </w:p>
    <w:tbl>
      <w:tblPr>
        <w:tblW w:w="9752" w:type="dxa"/>
        <w:jc w:val="center"/>
        <w:tblLayout w:type="fixed"/>
        <w:tblCellMar>
          <w:top w:w="100" w:type="dxa"/>
          <w:left w:w="140" w:type="dxa"/>
          <w:bottom w:w="100" w:type="dxa"/>
          <w:right w:w="140" w:type="dxa"/>
        </w:tblCellMar>
        <w:tblLook w:val="04A0" w:firstRow="1" w:lastRow="0" w:firstColumn="1" w:lastColumn="0" w:noHBand="0" w:noVBand="1"/>
      </w:tblPr>
      <w:tblGrid>
        <w:gridCol w:w="4877"/>
        <w:gridCol w:w="4875"/>
      </w:tblGrid>
      <w:tr w:rsidR="00C2740E" w:rsidRPr="00D3373D" w14:paraId="562D2EE2" w14:textId="77777777">
        <w:trPr>
          <w:cantSplit/>
          <w:jc w:val="center"/>
        </w:trPr>
        <w:tc>
          <w:tcPr>
            <w:tcW w:w="4876" w:type="dxa"/>
            <w:tcBorders>
              <w:top w:val="single" w:sz="6" w:space="0" w:color="B4C6E7"/>
              <w:left w:val="single" w:sz="6" w:space="0" w:color="B4C6E7"/>
              <w:bottom w:val="single" w:sz="6" w:space="0" w:color="B4C6E7"/>
            </w:tcBorders>
            <w:shd w:val="clear" w:color="auto" w:fill="F7F9FC"/>
          </w:tcPr>
          <w:p w14:paraId="769E951C" w14:textId="77777777" w:rsidR="00C2740E" w:rsidRPr="00D3373D" w:rsidRDefault="00000000" w:rsidP="00D3373D">
            <w:pPr>
              <w:pStyle w:val="PRSmall"/>
              <w:spacing w:after="100"/>
              <w:rPr>
                <w:rFonts w:ascii="Calibri" w:hAnsi="Calibri" w:cs="Calibri"/>
                <w:color w:val="000000" w:themeColor="text1"/>
                <w:sz w:val="22"/>
              </w:rPr>
            </w:pPr>
            <w:r w:rsidRPr="00D3373D">
              <w:rPr>
                <w:rFonts w:ascii="Calibri" w:hAnsi="Calibri" w:cs="Calibri"/>
                <w:b/>
                <w:color w:val="000000" w:themeColor="text1"/>
                <w:sz w:val="22"/>
              </w:rPr>
              <w:t>O PORT PC</w:t>
            </w:r>
          </w:p>
          <w:p w14:paraId="3CCB4271" w14:textId="77777777" w:rsidR="00C2740E" w:rsidRPr="00DA2AEE" w:rsidRDefault="00000000" w:rsidP="00D3373D">
            <w:pPr>
              <w:pStyle w:val="PRSmall"/>
              <w:spacing w:after="100"/>
              <w:rPr>
                <w:rFonts w:ascii="Calibri" w:hAnsi="Calibri" w:cs="Calibri"/>
                <w:color w:val="000000" w:themeColor="text1"/>
                <w:sz w:val="20"/>
                <w:szCs w:val="20"/>
              </w:rPr>
            </w:pPr>
            <w:r w:rsidRPr="00DA2AEE">
              <w:rPr>
                <w:rFonts w:ascii="Calibri" w:hAnsi="Calibri" w:cs="Calibri"/>
                <w:color w:val="000000" w:themeColor="text1"/>
                <w:sz w:val="20"/>
                <w:szCs w:val="20"/>
              </w:rPr>
              <w:t>Polska Organizacja Rozwoju Technologii Pomp Ciepła PORT PC działa na rzecz rozwoju wysokiej jakości systemów z pompami ciepła, elektryfikacji ogrzewania, poprawy efektywności energetycznej budynków oraz integracji odbiorców z nowoczesnym systemem energetycznym.</w:t>
            </w:r>
          </w:p>
          <w:p w14:paraId="5CC0B8D9" w14:textId="77777777" w:rsidR="00C2740E" w:rsidRPr="00DA2AEE" w:rsidRDefault="00000000" w:rsidP="00D3373D">
            <w:pPr>
              <w:pStyle w:val="PRSmall"/>
              <w:spacing w:after="100"/>
              <w:rPr>
                <w:rFonts w:ascii="Calibri" w:hAnsi="Calibri" w:cs="Calibri"/>
                <w:color w:val="000000" w:themeColor="text1"/>
                <w:sz w:val="20"/>
                <w:szCs w:val="20"/>
              </w:rPr>
            </w:pPr>
            <w:r w:rsidRPr="00DA2AEE">
              <w:rPr>
                <w:rFonts w:ascii="Calibri" w:hAnsi="Calibri" w:cs="Calibri"/>
                <w:i/>
                <w:color w:val="000000" w:themeColor="text1"/>
                <w:sz w:val="20"/>
                <w:szCs w:val="20"/>
              </w:rPr>
              <w:t xml:space="preserve">Więcej informacji: </w:t>
            </w:r>
            <w:hyperlink r:id="rId9">
              <w:r w:rsidR="00C2740E" w:rsidRPr="00DA2AEE">
                <w:rPr>
                  <w:rFonts w:ascii="Calibri" w:hAnsi="Calibri" w:cs="Calibri"/>
                  <w:color w:val="000000" w:themeColor="text1"/>
                  <w:sz w:val="20"/>
                  <w:szCs w:val="20"/>
                  <w:u w:val="single"/>
                </w:rPr>
                <w:t>www.portpc.pl</w:t>
              </w:r>
            </w:hyperlink>
          </w:p>
        </w:tc>
        <w:tc>
          <w:tcPr>
            <w:tcW w:w="4875" w:type="dxa"/>
            <w:tcBorders>
              <w:top w:val="single" w:sz="6" w:space="0" w:color="B4C6E7"/>
              <w:bottom w:val="single" w:sz="6" w:space="0" w:color="B4C6E7"/>
              <w:right w:val="single" w:sz="6" w:space="0" w:color="B4C6E7"/>
            </w:tcBorders>
            <w:shd w:val="clear" w:color="auto" w:fill="F7F9FC"/>
          </w:tcPr>
          <w:p w14:paraId="688047D4" w14:textId="77777777" w:rsidR="00C2740E" w:rsidRPr="00D3373D" w:rsidRDefault="00000000" w:rsidP="00D3373D">
            <w:pPr>
              <w:pStyle w:val="PRSmall"/>
              <w:spacing w:after="100"/>
              <w:rPr>
                <w:rFonts w:ascii="Calibri" w:hAnsi="Calibri" w:cs="Calibri"/>
                <w:color w:val="000000" w:themeColor="text1"/>
                <w:sz w:val="22"/>
              </w:rPr>
            </w:pPr>
            <w:r w:rsidRPr="00D3373D">
              <w:rPr>
                <w:rFonts w:ascii="Calibri" w:hAnsi="Calibri" w:cs="Calibri"/>
                <w:b/>
                <w:color w:val="000000" w:themeColor="text1"/>
                <w:sz w:val="22"/>
              </w:rPr>
              <w:t>Kontakt dla mediów</w:t>
            </w:r>
          </w:p>
          <w:p w14:paraId="1C50788B" w14:textId="77777777" w:rsidR="00C2740E" w:rsidRPr="00DA2AEE" w:rsidRDefault="00000000" w:rsidP="00D3373D">
            <w:pPr>
              <w:pStyle w:val="PRSmall"/>
              <w:spacing w:after="100"/>
              <w:rPr>
                <w:rFonts w:ascii="Calibri" w:hAnsi="Calibri" w:cs="Calibri"/>
                <w:color w:val="000000" w:themeColor="text1"/>
                <w:sz w:val="20"/>
                <w:szCs w:val="20"/>
              </w:rPr>
            </w:pPr>
            <w:r w:rsidRPr="00DA2AEE">
              <w:rPr>
                <w:rFonts w:ascii="Calibri" w:hAnsi="Calibri" w:cs="Calibri"/>
                <w:i/>
                <w:color w:val="000000" w:themeColor="text1"/>
                <w:sz w:val="20"/>
                <w:szCs w:val="20"/>
              </w:rPr>
              <w:t>Joanna Jania</w:t>
            </w:r>
            <w:r w:rsidRPr="00DA2AEE">
              <w:rPr>
                <w:rFonts w:ascii="Calibri" w:hAnsi="Calibri" w:cs="Calibri"/>
                <w:i/>
                <w:color w:val="000000" w:themeColor="text1"/>
                <w:sz w:val="20"/>
                <w:szCs w:val="20"/>
              </w:rPr>
              <w:br/>
            </w:r>
            <w:r w:rsidRPr="00DA2AEE">
              <w:rPr>
                <w:rFonts w:ascii="Calibri" w:hAnsi="Calibri" w:cs="Calibri"/>
                <w:color w:val="000000" w:themeColor="text1"/>
                <w:sz w:val="20"/>
                <w:szCs w:val="20"/>
              </w:rPr>
              <w:t>rzeczniczka prasowa PORT PC</w:t>
            </w:r>
            <w:r w:rsidRPr="00DA2AEE">
              <w:rPr>
                <w:rFonts w:ascii="Calibri" w:hAnsi="Calibri" w:cs="Calibri"/>
                <w:color w:val="000000" w:themeColor="text1"/>
                <w:sz w:val="20"/>
                <w:szCs w:val="20"/>
              </w:rPr>
              <w:br/>
              <w:t xml:space="preserve">e-mail: </w:t>
            </w:r>
            <w:hyperlink r:id="rId10">
              <w:r w:rsidR="00C2740E" w:rsidRPr="00DA2AEE">
                <w:rPr>
                  <w:rFonts w:ascii="Calibri" w:hAnsi="Calibri" w:cs="Calibri"/>
                  <w:color w:val="000000" w:themeColor="text1"/>
                  <w:sz w:val="20"/>
                  <w:szCs w:val="20"/>
                  <w:u w:val="single"/>
                </w:rPr>
                <w:t>joanna.jania@portpc.pl</w:t>
              </w:r>
            </w:hyperlink>
            <w:r w:rsidRPr="00DA2AEE">
              <w:rPr>
                <w:rFonts w:ascii="Calibri" w:hAnsi="Calibri" w:cs="Calibri"/>
                <w:color w:val="000000" w:themeColor="text1"/>
                <w:sz w:val="20"/>
                <w:szCs w:val="20"/>
              </w:rPr>
              <w:br/>
              <w:t>tel. +48 882 103 396</w:t>
            </w:r>
          </w:p>
        </w:tc>
      </w:tr>
    </w:tbl>
    <w:p w14:paraId="1E6C6B65" w14:textId="77777777" w:rsidR="00C2740E" w:rsidRPr="00D3373D" w:rsidRDefault="00C2740E" w:rsidP="00D3373D">
      <w:pPr>
        <w:spacing w:after="100"/>
        <w:rPr>
          <w:rFonts w:ascii="Calibri" w:hAnsi="Calibri" w:cs="Calibri"/>
          <w:color w:val="000000" w:themeColor="text1"/>
          <w:sz w:val="22"/>
        </w:rPr>
      </w:pPr>
    </w:p>
    <w:sectPr w:rsidR="00C2740E" w:rsidRPr="00D3373D" w:rsidSect="009A2982">
      <w:headerReference w:type="default" r:id="rId11"/>
      <w:pgSz w:w="11906" w:h="16838"/>
      <w:pgMar w:top="1417" w:right="1417" w:bottom="1263" w:left="1417" w:header="312"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263C3" w14:textId="77777777" w:rsidR="00F76F27" w:rsidRDefault="00F76F27">
      <w:pPr>
        <w:spacing w:after="0" w:line="240" w:lineRule="auto"/>
      </w:pPr>
      <w:r>
        <w:separator/>
      </w:r>
    </w:p>
  </w:endnote>
  <w:endnote w:type="continuationSeparator" w:id="0">
    <w:p w14:paraId="2D79906D" w14:textId="77777777" w:rsidR="00F76F27" w:rsidRDefault="00F7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55E3E" w14:textId="77777777" w:rsidR="00F76F27" w:rsidRDefault="00F76F27">
      <w:pPr>
        <w:spacing w:after="0" w:line="240" w:lineRule="auto"/>
      </w:pPr>
      <w:r>
        <w:separator/>
      </w:r>
    </w:p>
  </w:footnote>
  <w:footnote w:type="continuationSeparator" w:id="0">
    <w:p w14:paraId="34F5D03F" w14:textId="77777777" w:rsidR="00F76F27" w:rsidRDefault="00F76F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20CE" w14:textId="77777777" w:rsidR="00C2740E" w:rsidRDefault="00000000">
    <w:pPr>
      <w:tabs>
        <w:tab w:val="center" w:pos="4536"/>
        <w:tab w:val="right" w:pos="9072"/>
      </w:tabs>
      <w:spacing w:after="0"/>
      <w:rPr>
        <w:i/>
      </w:rPr>
    </w:pPr>
    <w:r>
      <w:rPr>
        <w:noProof/>
      </w:rPr>
      <w:drawing>
        <wp:anchor distT="0" distB="0" distL="114300" distR="114300" simplePos="0" relativeHeight="4" behindDoc="0" locked="0" layoutInCell="0" allowOverlap="1" wp14:anchorId="4DCC30C9" wp14:editId="41DA8D80">
          <wp:simplePos x="0" y="0"/>
          <wp:positionH relativeFrom="margin">
            <wp:posOffset>5413375</wp:posOffset>
          </wp:positionH>
          <wp:positionV relativeFrom="margin">
            <wp:posOffset>-681355</wp:posOffset>
          </wp:positionV>
          <wp:extent cx="863600" cy="421005"/>
          <wp:effectExtent l="0" t="0" r="0" b="0"/>
          <wp:wrapSquare wrapText="bothSides"/>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png"/>
                  <pic:cNvPicPr>
                    <a:picLocks noChangeAspect="1" noChangeArrowheads="1"/>
                  </pic:cNvPicPr>
                </pic:nvPicPr>
                <pic:blipFill>
                  <a:blip r:embed="rId1"/>
                  <a:stretch>
                    <a:fillRect/>
                  </a:stretch>
                </pic:blipFill>
                <pic:spPr bwMode="auto">
                  <a:xfrm>
                    <a:off x="0" y="0"/>
                    <a:ext cx="863600" cy="421005"/>
                  </a:xfrm>
                  <a:prstGeom prst="rect">
                    <a:avLst/>
                  </a:prstGeom>
                </pic:spPr>
              </pic:pic>
            </a:graphicData>
          </a:graphic>
          <wp14:sizeRelH relativeFrom="margin">
            <wp14:pctWidth>0</wp14:pctWidth>
          </wp14:sizeRelH>
          <wp14:sizeRelV relativeFrom="margin">
            <wp14:pctHeight>0</wp14:pctHeight>
          </wp14:sizeRelV>
        </wp:anchor>
      </w:drawing>
    </w:r>
    <w:r>
      <w:rPr>
        <w:i/>
        <w:color w:val="2D2D2D"/>
        <w:sz w:val="18"/>
      </w:rPr>
      <w:t>Informacja prasowa Polskiej Organizacji Rozwoju Technologii Pomp Ciepła</w:t>
    </w:r>
  </w:p>
  <w:p w14:paraId="7E903BC0" w14:textId="77777777" w:rsidR="00C2740E" w:rsidRDefault="00C2740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596984"/>
    <w:multiLevelType w:val="hybridMultilevel"/>
    <w:tmpl w:val="94AAD3AA"/>
    <w:lvl w:ilvl="0" w:tplc="04150001">
      <w:start w:val="1"/>
      <w:numFmt w:val="bullet"/>
      <w:lvlText w:val=""/>
      <w:lvlJc w:val="left"/>
      <w:pPr>
        <w:ind w:left="805" w:hanging="360"/>
      </w:pPr>
      <w:rPr>
        <w:rFonts w:ascii="Symbol" w:hAnsi="Symbol" w:hint="default"/>
      </w:rPr>
    </w:lvl>
    <w:lvl w:ilvl="1" w:tplc="04150003" w:tentative="1">
      <w:start w:val="1"/>
      <w:numFmt w:val="bullet"/>
      <w:lvlText w:val="o"/>
      <w:lvlJc w:val="left"/>
      <w:pPr>
        <w:ind w:left="1525" w:hanging="360"/>
      </w:pPr>
      <w:rPr>
        <w:rFonts w:ascii="Courier New" w:hAnsi="Courier New" w:cs="Courier New" w:hint="default"/>
      </w:rPr>
    </w:lvl>
    <w:lvl w:ilvl="2" w:tplc="04150005" w:tentative="1">
      <w:start w:val="1"/>
      <w:numFmt w:val="bullet"/>
      <w:lvlText w:val=""/>
      <w:lvlJc w:val="left"/>
      <w:pPr>
        <w:ind w:left="2245" w:hanging="360"/>
      </w:pPr>
      <w:rPr>
        <w:rFonts w:ascii="Wingdings" w:hAnsi="Wingdings" w:hint="default"/>
      </w:rPr>
    </w:lvl>
    <w:lvl w:ilvl="3" w:tplc="04150001" w:tentative="1">
      <w:start w:val="1"/>
      <w:numFmt w:val="bullet"/>
      <w:lvlText w:val=""/>
      <w:lvlJc w:val="left"/>
      <w:pPr>
        <w:ind w:left="2965" w:hanging="360"/>
      </w:pPr>
      <w:rPr>
        <w:rFonts w:ascii="Symbol" w:hAnsi="Symbol" w:hint="default"/>
      </w:rPr>
    </w:lvl>
    <w:lvl w:ilvl="4" w:tplc="04150003" w:tentative="1">
      <w:start w:val="1"/>
      <w:numFmt w:val="bullet"/>
      <w:lvlText w:val="o"/>
      <w:lvlJc w:val="left"/>
      <w:pPr>
        <w:ind w:left="3685" w:hanging="360"/>
      </w:pPr>
      <w:rPr>
        <w:rFonts w:ascii="Courier New" w:hAnsi="Courier New" w:cs="Courier New" w:hint="default"/>
      </w:rPr>
    </w:lvl>
    <w:lvl w:ilvl="5" w:tplc="04150005" w:tentative="1">
      <w:start w:val="1"/>
      <w:numFmt w:val="bullet"/>
      <w:lvlText w:val=""/>
      <w:lvlJc w:val="left"/>
      <w:pPr>
        <w:ind w:left="4405" w:hanging="360"/>
      </w:pPr>
      <w:rPr>
        <w:rFonts w:ascii="Wingdings" w:hAnsi="Wingdings" w:hint="default"/>
      </w:rPr>
    </w:lvl>
    <w:lvl w:ilvl="6" w:tplc="04150001" w:tentative="1">
      <w:start w:val="1"/>
      <w:numFmt w:val="bullet"/>
      <w:lvlText w:val=""/>
      <w:lvlJc w:val="left"/>
      <w:pPr>
        <w:ind w:left="5125" w:hanging="360"/>
      </w:pPr>
      <w:rPr>
        <w:rFonts w:ascii="Symbol" w:hAnsi="Symbol" w:hint="default"/>
      </w:rPr>
    </w:lvl>
    <w:lvl w:ilvl="7" w:tplc="04150003" w:tentative="1">
      <w:start w:val="1"/>
      <w:numFmt w:val="bullet"/>
      <w:lvlText w:val="o"/>
      <w:lvlJc w:val="left"/>
      <w:pPr>
        <w:ind w:left="5845" w:hanging="360"/>
      </w:pPr>
      <w:rPr>
        <w:rFonts w:ascii="Courier New" w:hAnsi="Courier New" w:cs="Courier New" w:hint="default"/>
      </w:rPr>
    </w:lvl>
    <w:lvl w:ilvl="8" w:tplc="04150005" w:tentative="1">
      <w:start w:val="1"/>
      <w:numFmt w:val="bullet"/>
      <w:lvlText w:val=""/>
      <w:lvlJc w:val="left"/>
      <w:pPr>
        <w:ind w:left="6565" w:hanging="360"/>
      </w:pPr>
      <w:rPr>
        <w:rFonts w:ascii="Wingdings" w:hAnsi="Wingdings" w:hint="default"/>
      </w:rPr>
    </w:lvl>
  </w:abstractNum>
  <w:num w:numId="1" w16cid:durableId="598026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40E"/>
    <w:rsid w:val="00007FB2"/>
    <w:rsid w:val="000947B3"/>
    <w:rsid w:val="000A6D8F"/>
    <w:rsid w:val="000D2040"/>
    <w:rsid w:val="001B0E4A"/>
    <w:rsid w:val="001B7CDE"/>
    <w:rsid w:val="001D3E76"/>
    <w:rsid w:val="001F0901"/>
    <w:rsid w:val="0024627D"/>
    <w:rsid w:val="00255458"/>
    <w:rsid w:val="00264797"/>
    <w:rsid w:val="00276890"/>
    <w:rsid w:val="00285FC5"/>
    <w:rsid w:val="0029047F"/>
    <w:rsid w:val="0029394E"/>
    <w:rsid w:val="002B2793"/>
    <w:rsid w:val="002D0ADE"/>
    <w:rsid w:val="002D62EF"/>
    <w:rsid w:val="002F22A0"/>
    <w:rsid w:val="002F5273"/>
    <w:rsid w:val="00330EBA"/>
    <w:rsid w:val="00345848"/>
    <w:rsid w:val="00393DE8"/>
    <w:rsid w:val="003A4B04"/>
    <w:rsid w:val="003B5436"/>
    <w:rsid w:val="004A32F1"/>
    <w:rsid w:val="004B5622"/>
    <w:rsid w:val="005444FA"/>
    <w:rsid w:val="00592C02"/>
    <w:rsid w:val="005C27D8"/>
    <w:rsid w:val="00613755"/>
    <w:rsid w:val="0062150F"/>
    <w:rsid w:val="006272C4"/>
    <w:rsid w:val="0066504A"/>
    <w:rsid w:val="00701EEA"/>
    <w:rsid w:val="00750884"/>
    <w:rsid w:val="007E0CAD"/>
    <w:rsid w:val="008D5670"/>
    <w:rsid w:val="00964CDC"/>
    <w:rsid w:val="009A2982"/>
    <w:rsid w:val="009E4626"/>
    <w:rsid w:val="00A3438B"/>
    <w:rsid w:val="00AA1994"/>
    <w:rsid w:val="00AA3517"/>
    <w:rsid w:val="00B03CDA"/>
    <w:rsid w:val="00B33A00"/>
    <w:rsid w:val="00B50B37"/>
    <w:rsid w:val="00B7125F"/>
    <w:rsid w:val="00B93356"/>
    <w:rsid w:val="00BF3A15"/>
    <w:rsid w:val="00C0781F"/>
    <w:rsid w:val="00C15A87"/>
    <w:rsid w:val="00C2740E"/>
    <w:rsid w:val="00C32141"/>
    <w:rsid w:val="00C5562E"/>
    <w:rsid w:val="00C55EF5"/>
    <w:rsid w:val="00CA2ED5"/>
    <w:rsid w:val="00CE74A6"/>
    <w:rsid w:val="00CF37C1"/>
    <w:rsid w:val="00D00C70"/>
    <w:rsid w:val="00D05387"/>
    <w:rsid w:val="00D3373D"/>
    <w:rsid w:val="00D92F6B"/>
    <w:rsid w:val="00DA2AEE"/>
    <w:rsid w:val="00DB375D"/>
    <w:rsid w:val="00E0778F"/>
    <w:rsid w:val="00E423A1"/>
    <w:rsid w:val="00E77A42"/>
    <w:rsid w:val="00EF021B"/>
    <w:rsid w:val="00F25C88"/>
    <w:rsid w:val="00F309E0"/>
    <w:rsid w:val="00F343BC"/>
    <w:rsid w:val="00F43D6B"/>
    <w:rsid w:val="00F472FA"/>
    <w:rsid w:val="00F76B77"/>
    <w:rsid w:val="00F76F27"/>
    <w:rsid w:val="00FE195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305F1"/>
  <w15:docId w15:val="{16D4A961-6A5C-4001-8DD4-B1C2A931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AC9"/>
    <w:pPr>
      <w:spacing w:after="84" w:line="252" w:lineRule="auto"/>
      <w:jc w:val="both"/>
    </w:pPr>
    <w:rPr>
      <w:rFonts w:ascii="Arial" w:eastAsia="Arial" w:hAnsi="Arial"/>
      <w:sz w:val="20"/>
    </w:rPr>
  </w:style>
  <w:style w:type="paragraph" w:styleId="Nagwek1">
    <w:name w:val="heading 1"/>
    <w:basedOn w:val="Normalny"/>
    <w:link w:val="Nagwek1Znak"/>
    <w:uiPriority w:val="9"/>
    <w:qFormat/>
    <w:rsid w:val="003C3C21"/>
    <w:pPr>
      <w:spacing w:beforeAutospacing="1" w:afterAutospacing="1" w:line="240" w:lineRule="auto"/>
      <w:outlineLvl w:val="0"/>
    </w:pPr>
    <w:rPr>
      <w:rFonts w:ascii="Times New Roman" w:eastAsia="Times New Roman" w:hAnsi="Times New Roman" w:cs="Times New Roman"/>
      <w:b/>
      <w:bCs/>
      <w:sz w:val="48"/>
      <w:szCs w:val="48"/>
      <w:lang w:eastAsia="pl-PL"/>
      <w14:ligatures w14:val="none"/>
    </w:rPr>
  </w:style>
  <w:style w:type="paragraph" w:styleId="Nagwek3">
    <w:name w:val="heading 3"/>
    <w:basedOn w:val="Normalny"/>
    <w:next w:val="Normalny"/>
    <w:link w:val="Nagwek3Znak"/>
    <w:uiPriority w:val="9"/>
    <w:semiHidden/>
    <w:unhideWhenUsed/>
    <w:qFormat/>
    <w:rsid w:val="006E416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3C3C21"/>
    <w:rPr>
      <w:rFonts w:ascii="Times New Roman" w:eastAsia="Times New Roman" w:hAnsi="Times New Roman" w:cs="Times New Roman"/>
      <w:b/>
      <w:bCs/>
      <w:kern w:val="2"/>
      <w:sz w:val="48"/>
      <w:szCs w:val="48"/>
      <w:lang w:eastAsia="pl-PL"/>
      <w14:ligatures w14:val="none"/>
    </w:rPr>
  </w:style>
  <w:style w:type="character" w:styleId="Odwoaniedokomentarza">
    <w:name w:val="annotation reference"/>
    <w:basedOn w:val="Domylnaczcionkaakapitu"/>
    <w:uiPriority w:val="99"/>
    <w:semiHidden/>
    <w:unhideWhenUsed/>
    <w:qFormat/>
    <w:rsid w:val="00894E6F"/>
    <w:rPr>
      <w:sz w:val="16"/>
      <w:szCs w:val="16"/>
    </w:rPr>
  </w:style>
  <w:style w:type="character" w:customStyle="1" w:styleId="TekstkomentarzaZnak">
    <w:name w:val="Tekst komentarza Znak"/>
    <w:basedOn w:val="Domylnaczcionkaakapitu"/>
    <w:link w:val="Tekstkomentarza"/>
    <w:uiPriority w:val="99"/>
    <w:qFormat/>
    <w:rsid w:val="00894E6F"/>
    <w:rPr>
      <w:rFonts w:ascii="Calibri" w:eastAsia="Calibri" w:hAnsi="Calibri" w:cs="Calibri"/>
      <w:color w:val="000000"/>
      <w:sz w:val="20"/>
      <w:szCs w:val="20"/>
      <w:lang w:eastAsia="pl-PL"/>
    </w:rPr>
  </w:style>
  <w:style w:type="character" w:customStyle="1" w:styleId="NagwekZnak">
    <w:name w:val="Nagłówek Znak"/>
    <w:basedOn w:val="Domylnaczcionkaakapitu"/>
    <w:link w:val="Nagwek"/>
    <w:uiPriority w:val="99"/>
    <w:qFormat/>
    <w:rsid w:val="007E31FB"/>
  </w:style>
  <w:style w:type="character" w:customStyle="1" w:styleId="StopkaZnak">
    <w:name w:val="Stopka Znak"/>
    <w:basedOn w:val="Domylnaczcionkaakapitu"/>
    <w:link w:val="Stopka"/>
    <w:uiPriority w:val="99"/>
    <w:qFormat/>
    <w:rsid w:val="007E31FB"/>
  </w:style>
  <w:style w:type="character" w:styleId="Hipercze">
    <w:name w:val="Hyperlink"/>
    <w:basedOn w:val="Domylnaczcionkaakapitu"/>
    <w:uiPriority w:val="99"/>
    <w:unhideWhenUsed/>
    <w:rsid w:val="00825993"/>
    <w:rPr>
      <w:color w:val="0563C1" w:themeColor="hyperlink"/>
      <w:u w:val="single"/>
    </w:rPr>
  </w:style>
  <w:style w:type="character" w:styleId="Nierozpoznanawzmianka">
    <w:name w:val="Unresolved Mention"/>
    <w:basedOn w:val="Domylnaczcionkaakapitu"/>
    <w:uiPriority w:val="99"/>
    <w:semiHidden/>
    <w:unhideWhenUsed/>
    <w:qFormat/>
    <w:rsid w:val="00825993"/>
    <w:rPr>
      <w:color w:val="605E5C"/>
      <w:shd w:val="clear" w:color="auto" w:fill="E1DFDD"/>
    </w:rPr>
  </w:style>
  <w:style w:type="character" w:styleId="UyteHipercze">
    <w:name w:val="FollowedHyperlink"/>
    <w:basedOn w:val="Domylnaczcionkaakapitu"/>
    <w:uiPriority w:val="99"/>
    <w:semiHidden/>
    <w:unhideWhenUsed/>
    <w:rsid w:val="00A961B8"/>
    <w:rPr>
      <w:color w:val="954F72" w:themeColor="followedHyperlink"/>
      <w:u w:val="single"/>
    </w:rPr>
  </w:style>
  <w:style w:type="character" w:styleId="Pogrubienie">
    <w:name w:val="Strong"/>
    <w:basedOn w:val="Domylnaczcionkaakapitu"/>
    <w:uiPriority w:val="22"/>
    <w:qFormat/>
    <w:rsid w:val="00A55C18"/>
    <w:rPr>
      <w:b/>
      <w:bCs/>
    </w:rPr>
  </w:style>
  <w:style w:type="character" w:styleId="Uwydatnienie">
    <w:name w:val="Emphasis"/>
    <w:basedOn w:val="Domylnaczcionkaakapitu"/>
    <w:uiPriority w:val="20"/>
    <w:qFormat/>
    <w:rsid w:val="0023797D"/>
    <w:rPr>
      <w:i/>
      <w:iCs/>
    </w:rPr>
  </w:style>
  <w:style w:type="character" w:customStyle="1" w:styleId="Nagwek3Znak">
    <w:name w:val="Nagłówek 3 Znak"/>
    <w:basedOn w:val="Domylnaczcionkaakapitu"/>
    <w:link w:val="Nagwek3"/>
    <w:uiPriority w:val="9"/>
    <w:semiHidden/>
    <w:qFormat/>
    <w:rsid w:val="006E416B"/>
    <w:rPr>
      <w:rFonts w:asciiTheme="majorHAnsi" w:eastAsiaTheme="majorEastAsia" w:hAnsiTheme="majorHAnsi" w:cstheme="majorBidi"/>
      <w:color w:val="1F3763" w:themeColor="accent1" w:themeShade="7F"/>
      <w:sz w:val="24"/>
      <w:szCs w:val="24"/>
    </w:rPr>
  </w:style>
  <w:style w:type="character" w:customStyle="1" w:styleId="r-b88u0q">
    <w:name w:val="r-b88u0q"/>
    <w:basedOn w:val="Domylnaczcionkaakapitu"/>
    <w:qFormat/>
    <w:rsid w:val="007C2766"/>
  </w:style>
  <w:style w:type="character" w:customStyle="1" w:styleId="TekstpodstawowyZnak">
    <w:name w:val="Tekst podstawowy Znak"/>
    <w:basedOn w:val="Domylnaczcionkaakapitu"/>
    <w:link w:val="Tekstpodstawowy"/>
    <w:uiPriority w:val="1"/>
    <w:qFormat/>
    <w:rsid w:val="00D5646A"/>
    <w:rPr>
      <w:rFonts w:ascii="Calibri" w:eastAsia="Calibri" w:hAnsi="Calibri" w:cs="Calibri"/>
      <w:kern w:val="0"/>
      <w14:ligatures w14:val="none"/>
    </w:rPr>
  </w:style>
  <w:style w:type="character" w:customStyle="1" w:styleId="apple-converted-space">
    <w:name w:val="apple-converted-space"/>
    <w:basedOn w:val="Domylnaczcionkaakapitu"/>
    <w:qFormat/>
    <w:rsid w:val="00C7269A"/>
  </w:style>
  <w:style w:type="character" w:customStyle="1" w:styleId="TekstprzypisudolnegoZnak">
    <w:name w:val="Tekst przypisu dolnego Znak"/>
    <w:basedOn w:val="Domylnaczcionkaakapitu"/>
    <w:link w:val="Tekstprzypisudolnego"/>
    <w:uiPriority w:val="99"/>
    <w:semiHidden/>
    <w:qFormat/>
    <w:rsid w:val="00E3765D"/>
    <w:rPr>
      <w:sz w:val="20"/>
      <w:szCs w:val="20"/>
    </w:rPr>
  </w:style>
  <w:style w:type="character" w:customStyle="1" w:styleId="Znakiprzypiswdolnych">
    <w:name w:val="Znaki przypisów dolnych"/>
    <w:uiPriority w:val="99"/>
    <w:semiHidden/>
    <w:unhideWhenUsed/>
    <w:qFormat/>
    <w:rsid w:val="00E3765D"/>
    <w:rPr>
      <w:vertAlign w:val="superscript"/>
    </w:rPr>
  </w:style>
  <w:style w:type="character" w:styleId="Odwoanieprzypisudolnego">
    <w:name w:val="footnote reference"/>
    <w:rPr>
      <w:vertAlign w:val="superscript"/>
    </w:rPr>
  </w:style>
  <w:style w:type="character" w:customStyle="1" w:styleId="linenumber1">
    <w:name w:val="line number1"/>
    <w:qFormat/>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styleId="Numerwiersza">
    <w:name w:val="line number"/>
  </w:style>
  <w:style w:type="paragraph" w:styleId="Nagwek">
    <w:name w:val="header"/>
    <w:basedOn w:val="Normalny"/>
    <w:next w:val="Tekstpodstawowy"/>
    <w:link w:val="NagwekZnak"/>
    <w:uiPriority w:val="99"/>
    <w:unhideWhenUsed/>
    <w:rsid w:val="007E31FB"/>
    <w:pPr>
      <w:tabs>
        <w:tab w:val="center" w:pos="4536"/>
        <w:tab w:val="right" w:pos="9072"/>
      </w:tabs>
      <w:spacing w:after="0" w:line="240" w:lineRule="auto"/>
    </w:pPr>
  </w:style>
  <w:style w:type="paragraph" w:styleId="Tekstpodstawowy">
    <w:name w:val="Body Text"/>
    <w:basedOn w:val="Normalny"/>
    <w:link w:val="TekstpodstawowyZnak"/>
    <w:uiPriority w:val="1"/>
    <w:qFormat/>
    <w:rsid w:val="00D5646A"/>
    <w:pPr>
      <w:widowControl w:val="0"/>
      <w:spacing w:after="0" w:line="240" w:lineRule="auto"/>
      <w:ind w:left="116"/>
    </w:pPr>
    <w:rPr>
      <w:rFonts w:ascii="Calibri" w:eastAsia="Calibri" w:hAnsi="Calibri" w:cs="Calibri"/>
      <w:kern w:val="0"/>
      <w14:ligatures w14:val="none"/>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Akapitzlist">
    <w:name w:val="List Paragraph"/>
    <w:basedOn w:val="Normalny"/>
    <w:uiPriority w:val="34"/>
    <w:qFormat/>
    <w:rsid w:val="00486D9E"/>
    <w:pPr>
      <w:ind w:left="720"/>
      <w:contextualSpacing/>
    </w:pPr>
  </w:style>
  <w:style w:type="paragraph" w:styleId="Tekstkomentarza">
    <w:name w:val="annotation text"/>
    <w:basedOn w:val="Normalny"/>
    <w:link w:val="TekstkomentarzaZnak"/>
    <w:uiPriority w:val="99"/>
    <w:unhideWhenUsed/>
    <w:qFormat/>
    <w:rsid w:val="00894E6F"/>
    <w:pPr>
      <w:spacing w:after="37" w:line="240" w:lineRule="auto"/>
      <w:ind w:left="730" w:hanging="370"/>
    </w:pPr>
    <w:rPr>
      <w:rFonts w:ascii="Calibri" w:eastAsia="Calibri" w:hAnsi="Calibri" w:cs="Calibri"/>
      <w:color w:val="000000"/>
      <w:szCs w:val="20"/>
      <w:lang w:eastAsia="pl-PL"/>
    </w:rPr>
  </w:style>
  <w:style w:type="paragraph" w:styleId="Stopka">
    <w:name w:val="footer"/>
    <w:basedOn w:val="Normalny"/>
    <w:link w:val="StopkaZnak"/>
    <w:uiPriority w:val="99"/>
    <w:unhideWhenUsed/>
    <w:rsid w:val="007E31FB"/>
    <w:pPr>
      <w:tabs>
        <w:tab w:val="center" w:pos="4536"/>
        <w:tab w:val="right" w:pos="9072"/>
      </w:tabs>
      <w:spacing w:after="0" w:line="240" w:lineRule="auto"/>
    </w:pPr>
  </w:style>
  <w:style w:type="paragraph" w:customStyle="1" w:styleId="Default">
    <w:name w:val="Default"/>
    <w:qFormat/>
    <w:rsid w:val="009218C4"/>
    <w:rPr>
      <w:rFonts w:ascii="Arial" w:eastAsia="Calibri" w:hAnsi="Arial" w:cs="Arial"/>
      <w:color w:val="000000"/>
      <w:kern w:val="0"/>
      <w:sz w:val="24"/>
      <w:szCs w:val="24"/>
    </w:rPr>
  </w:style>
  <w:style w:type="paragraph" w:styleId="NormalnyWeb">
    <w:name w:val="Normal (Web)"/>
    <w:basedOn w:val="Normalny"/>
    <w:uiPriority w:val="99"/>
    <w:unhideWhenUsed/>
    <w:qFormat/>
    <w:rsid w:val="00A55C18"/>
    <w:pPr>
      <w:spacing w:beforeAutospacing="1"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isselectedend">
    <w:name w:val="isselectedend"/>
    <w:basedOn w:val="Normalny"/>
    <w:qFormat/>
    <w:rsid w:val="00C7269A"/>
    <w:pPr>
      <w:spacing w:beforeAutospacing="1" w:afterAutospacing="1" w:line="240" w:lineRule="auto"/>
    </w:pPr>
    <w:rPr>
      <w:rFonts w:ascii="Times New Roman" w:eastAsia="Times New Roman" w:hAnsi="Times New Roman" w:cs="Times New Roman"/>
      <w:kern w:val="0"/>
      <w:sz w:val="24"/>
      <w:szCs w:val="24"/>
      <w:lang w:eastAsia="pl-PL"/>
      <w14:ligatures w14:val="none"/>
    </w:rPr>
  </w:style>
  <w:style w:type="paragraph" w:styleId="Poprawka">
    <w:name w:val="Revision"/>
    <w:uiPriority w:val="99"/>
    <w:semiHidden/>
    <w:qFormat/>
    <w:rsid w:val="00D811EB"/>
  </w:style>
  <w:style w:type="paragraph" w:styleId="Tekstprzypisudolnego">
    <w:name w:val="footnote text"/>
    <w:basedOn w:val="Normalny"/>
    <w:link w:val="TekstprzypisudolnegoZnak"/>
    <w:uiPriority w:val="99"/>
    <w:semiHidden/>
    <w:unhideWhenUsed/>
    <w:rsid w:val="00E3765D"/>
    <w:pPr>
      <w:spacing w:after="0" w:line="240" w:lineRule="auto"/>
    </w:pPr>
    <w:rPr>
      <w:szCs w:val="20"/>
    </w:rPr>
  </w:style>
  <w:style w:type="paragraph" w:customStyle="1" w:styleId="PRTitle">
    <w:name w:val="PR Title"/>
    <w:qFormat/>
    <w:pPr>
      <w:keepNext/>
      <w:spacing w:before="100" w:after="180"/>
    </w:pPr>
    <w:rPr>
      <w:rFonts w:ascii="Arial" w:eastAsia="Arial" w:hAnsi="Arial"/>
      <w:b/>
      <w:color w:val="141414"/>
      <w:sz w:val="33"/>
    </w:rPr>
  </w:style>
  <w:style w:type="paragraph" w:customStyle="1" w:styleId="PRLead">
    <w:name w:val="PR Lead"/>
    <w:qFormat/>
    <w:pPr>
      <w:keepLines/>
      <w:spacing w:after="140" w:line="259" w:lineRule="auto"/>
    </w:pPr>
    <w:rPr>
      <w:rFonts w:ascii="Arial" w:eastAsia="Arial" w:hAnsi="Arial"/>
      <w:b/>
      <w:sz w:val="21"/>
    </w:rPr>
  </w:style>
  <w:style w:type="paragraph" w:customStyle="1" w:styleId="PRHeading">
    <w:name w:val="PR Heading"/>
    <w:qFormat/>
    <w:pPr>
      <w:keepNext/>
      <w:spacing w:before="160" w:after="80"/>
    </w:pPr>
    <w:rPr>
      <w:rFonts w:ascii="Arial" w:eastAsia="Arial" w:hAnsi="Arial"/>
      <w:b/>
      <w:color w:val="1F4E79"/>
      <w:sz w:val="24"/>
    </w:rPr>
  </w:style>
  <w:style w:type="paragraph" w:customStyle="1" w:styleId="PRQuote">
    <w:name w:val="PR Quote"/>
    <w:qFormat/>
    <w:pPr>
      <w:keepLines/>
      <w:spacing w:before="60" w:after="120" w:line="249" w:lineRule="auto"/>
      <w:ind w:left="142" w:right="85"/>
    </w:pPr>
    <w:rPr>
      <w:rFonts w:ascii="Arial" w:eastAsia="Arial" w:hAnsi="Arial"/>
      <w:sz w:val="20"/>
    </w:rPr>
  </w:style>
  <w:style w:type="paragraph" w:customStyle="1" w:styleId="PRBullet">
    <w:name w:val="PR Bullet"/>
    <w:qFormat/>
    <w:pPr>
      <w:spacing w:after="50" w:line="244" w:lineRule="auto"/>
    </w:pPr>
    <w:rPr>
      <w:rFonts w:ascii="Arial" w:eastAsia="Arial" w:hAnsi="Arial"/>
      <w:sz w:val="19"/>
    </w:rPr>
  </w:style>
  <w:style w:type="paragraph" w:customStyle="1" w:styleId="PRSource">
    <w:name w:val="PR Source"/>
    <w:qFormat/>
    <w:pPr>
      <w:spacing w:after="60"/>
    </w:pPr>
    <w:rPr>
      <w:rFonts w:ascii="Arial" w:eastAsia="Arial" w:hAnsi="Arial"/>
      <w:i/>
      <w:color w:val="5A5A5A"/>
      <w:sz w:val="15"/>
    </w:rPr>
  </w:style>
  <w:style w:type="paragraph" w:customStyle="1" w:styleId="PRSmall">
    <w:name w:val="PR Small"/>
    <w:qFormat/>
    <w:pPr>
      <w:spacing w:after="50"/>
    </w:pPr>
    <w:rPr>
      <w:rFonts w:ascii="Arial" w:eastAsia="Arial" w:hAnsi="Arial"/>
      <w:sz w:val="17"/>
    </w:rPr>
  </w:style>
  <w:style w:type="paragraph" w:customStyle="1" w:styleId="PRBoxHeading">
    <w:name w:val="PR Box Heading"/>
    <w:qFormat/>
    <w:pPr>
      <w:spacing w:after="60"/>
    </w:pPr>
    <w:rPr>
      <w:rFonts w:ascii="Arial" w:eastAsia="Arial" w:hAnsi="Arial"/>
      <w:b/>
      <w:color w:val="1F4E79"/>
      <w:sz w:val="20"/>
    </w:rPr>
  </w:style>
  <w:style w:type="table" w:styleId="Tabela-Siatka">
    <w:name w:val="Table Grid"/>
    <w:basedOn w:val="Standardowy"/>
    <w:uiPriority w:val="39"/>
    <w:rsid w:val="003D0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joanna.jania@portpc.pl" TargetMode="External"/><Relationship Id="rId4" Type="http://schemas.openxmlformats.org/officeDocument/2006/relationships/settings" Target="settings.xml"/><Relationship Id="rId9" Type="http://schemas.openxmlformats.org/officeDocument/2006/relationships/hyperlink" Target="https://portpc.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55B44-6396-4D22-8B4A-F9A340C74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1558</Words>
  <Characters>9353</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UE stawia na elektryfikację - informacja prasowa PORT PC</vt:lpstr>
    </vt:vector>
  </TitlesOfParts>
  <Company>PORT PC</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stawia na elektryfikację - informacja prasowa PORT PC</dc:title>
  <dc:subject>Plan działania UE na rzecz elektryfikacji i postulaty PORT PC</dc:subject>
  <dc:creator>Joanna Jania</dc:creator>
  <cp:keywords>elektryfikacja PORT PC pompy ciepła KPEiK Unia Europejska</cp:keywords>
  <dc:description/>
  <cp:lastModifiedBy>Joanna Jania</cp:lastModifiedBy>
  <cp:revision>4</cp:revision>
  <cp:lastPrinted>2026-08-04T15:07:00Z</cp:lastPrinted>
  <dcterms:created xsi:type="dcterms:W3CDTF">2026-08-04T15:31:00Z</dcterms:created>
  <dcterms:modified xsi:type="dcterms:W3CDTF">2026-08-05T07:28:00Z</dcterms:modified>
  <dc:language>pl-PL</dc:language>
</cp:coreProperties>
</file>